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200"/>
        <w:jc w:val="center"/>
        <w:rPr>
          <w:rFonts w:ascii="Arial" w:hAnsi="Arial" w:cs="Arial"/>
          <w:b/>
          <w:b/>
          <w:sz w:val="28"/>
        </w:rPr>
      </w:pPr>
      <w:r>
        <w:rPr>
          <w:rFonts w:cs="Arial" w:ascii="Arial" w:hAnsi="Arial"/>
          <w:b/>
          <w:sz w:val="28"/>
        </w:rPr>
        <w:t>CONTRATO Nº 01/2022</w:t>
      </w:r>
    </w:p>
    <w:p>
      <w:pPr>
        <w:pStyle w:val="Normal"/>
        <w:spacing w:before="0" w:after="200"/>
        <w:ind w:start="2268" w:hanging="0"/>
        <w:jc w:val="center"/>
        <w:rPr>
          <w:rFonts w:ascii="Arial" w:hAnsi="Arial" w:cs="Arial"/>
          <w:b/>
          <w:b/>
          <w:sz w:val="28"/>
          <w:u w:val="single"/>
        </w:rPr>
      </w:pPr>
      <w:r>
        <w:rPr>
          <w:rFonts w:cs="Arial" w:ascii="Arial" w:hAnsi="Arial"/>
          <w:b/>
          <w:sz w:val="28"/>
          <w:u w:val="single"/>
        </w:rPr>
      </w:r>
    </w:p>
    <w:p>
      <w:pPr>
        <w:pStyle w:val="Normal"/>
        <w:spacing w:lineRule="auto" w:line="360" w:before="0" w:after="200"/>
        <w:ind w:start="2268" w:hanging="0"/>
        <w:jc w:val="both"/>
        <w:rPr>
          <w:rFonts w:ascii="Arial" w:hAnsi="Arial" w:cs="Arial"/>
        </w:rPr>
      </w:pPr>
      <w:r>
        <w:rPr>
          <w:rFonts w:cs="Arial" w:ascii="Arial" w:hAnsi="Arial"/>
        </w:rPr>
        <w:t xml:space="preserve">Por esse instrumento a </w:t>
      </w:r>
      <w:r>
        <w:rPr>
          <w:rFonts w:cs="Arial" w:ascii="Arial" w:hAnsi="Arial"/>
          <w:b/>
        </w:rPr>
        <w:t>CÂMARA MUNICIPAL DE ÁGUA DOCE DO NORTE/ES</w:t>
      </w:r>
      <w:r>
        <w:rPr>
          <w:rFonts w:cs="Arial" w:ascii="Arial" w:hAnsi="Arial"/>
        </w:rPr>
        <w:t xml:space="preserve">, pessoa jurídica de direito público, inscrito no CNPJ de nº 31.796.667/0001-76, com sede na Rua Alacy Costa, nº 596, Centro, Água Doce do Norte, Estado do Espírito Santo, neste ato representada por seu Presidente HÉLIO PEREIRA, brasileiro, casado, inscrito no CPF de nº 053.162.727-65, residente na Rua Mário de Oliveira Dias, s/nº, Distrito de Santa Luzia do Azul, Água Doce do Norte/ES, doravante denominada CONTRATANTE, e a Empresa </w:t>
      </w:r>
      <w:r>
        <w:rPr>
          <w:rFonts w:cs="Arial" w:ascii="Arial" w:hAnsi="Arial"/>
          <w:b/>
        </w:rPr>
        <w:t>AKI NET TELECOM LTDA ME</w:t>
      </w:r>
      <w:r>
        <w:rPr>
          <w:rFonts w:cs="Arial" w:ascii="Arial" w:hAnsi="Arial"/>
        </w:rPr>
        <w:t xml:space="preserve">, inscrita no CNPJ de nº 10.806.409/0001-53, com sede na Rua Domingos Marcolino, nº 55, Centro, Água Doce do Norte/ES, CEP 29.820-000, Telefone (27) 3759-1167, E-mail </w:t>
      </w:r>
      <w:hyperlink r:id="rId2">
        <w:r>
          <w:rPr>
            <w:rStyle w:val="InternetLink"/>
            <w:rFonts w:cs="Arial" w:ascii="Arial" w:hAnsi="Arial"/>
          </w:rPr>
          <w:t>akinet@aknet.net</w:t>
        </w:r>
      </w:hyperlink>
      <w:r>
        <w:rPr>
          <w:rFonts w:cs="Arial" w:ascii="Arial" w:hAnsi="Arial"/>
        </w:rPr>
        <w:t>, doravante denominada CONTRATADA, representada neste ato por sua sócia administradora Sra. BETÂNIA KINÁCIA DE SOUZA SATURNINO, brasileira, casada, empresária, inscrita no CPF de nº 134.138.237-01, residente à Avenida Sebastião Coelho de Souza, s/nº, Centro, Água Doce do Norte/ES, CEP 29.820-000, resolvem celebrar entre si, o presente Contrato para fornecimento e manutenção de links de acesso à internet, resultante de procedimento de dispensa de licitação nº 04/2022, com fulcro no art. 24, inciso II, da Lei 8.666/93, consoante processo administrativo nº 04/2022.</w:t>
      </w:r>
    </w:p>
    <w:p>
      <w:pPr>
        <w:pStyle w:val="Normal"/>
        <w:spacing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b/>
          <w:b/>
        </w:rPr>
      </w:pPr>
      <w:r>
        <w:rPr>
          <w:rFonts w:cs="Arial" w:ascii="Arial" w:hAnsi="Arial"/>
          <w:b/>
        </w:rPr>
        <w:t>CLÁUSULA PRIMEIRA – DO OBJETO E DO VALOR CONTRATUAL</w:t>
      </w:r>
    </w:p>
    <w:p>
      <w:pPr>
        <w:pStyle w:val="Normal"/>
        <w:spacing w:lineRule="auto" w:line="360" w:before="0" w:after="200"/>
        <w:jc w:val="both"/>
        <w:rPr/>
      </w:pPr>
      <w:r>
        <w:rPr>
          <w:rFonts w:cs="Arial" w:ascii="Arial" w:hAnsi="Arial"/>
        </w:rPr>
        <w:t>O objeto do presente contrato é a prestação de serviços de telecomunicações para a implementação, operação e manutenção de um link de acesso, síncrono, dedicado à internet, na velocidade de 2Gbps, com disponibilidade 24 (vinte e quatro) horas por dia, durante 07 (sete) dias da semana, a partir de sua ativação até o término do contrato, mediante implantação de link de comunicação de dados de ativa a ser instalado no Data Center da Câmara Municipal usando infraestrutura de fibra óptica, com fornecimento dos equipamentos necessários à execução do serviço, bem como realizar a construção, instalação, adequação, manutenção de toda a rede interna, e disponibilização dos equipamentos, incluindo modens, switchs, cabos,  conectores, roteadores com tecnologia Mesh com cobertura em todos os ambientes e suporte técnico a todos os  equipamentos da rede, conforme disposto neste Contrato e no Termo de Referência contido nos autos do Processo administrativo nº 04/2020, que passam a integrar este instrumento, independentemente de transcrição.</w:t>
      </w:r>
    </w:p>
    <w:p>
      <w:pPr>
        <w:pStyle w:val="Normal"/>
        <w:spacing w:lineRule="auto" w:line="360" w:before="0" w:after="200"/>
        <w:jc w:val="both"/>
        <w:rPr>
          <w:rFonts w:ascii="Arial" w:hAnsi="Arial" w:cs="Arial"/>
        </w:rPr>
      </w:pPr>
      <w:r>
        <w:rPr>
          <w:rFonts w:cs="Arial" w:ascii="Arial" w:hAnsi="Arial"/>
          <w:b/>
        </w:rPr>
        <w:t>Parágrafo primeiro –</w:t>
      </w:r>
      <w:r>
        <w:rPr>
          <w:rFonts w:cs="Arial" w:ascii="Arial" w:hAnsi="Arial"/>
        </w:rPr>
        <w:t xml:space="preserve"> A Contratante pagará à Contratada o valor mensal de R$ 800,00 (oitocentos reais);</w:t>
      </w:r>
    </w:p>
    <w:p>
      <w:pPr>
        <w:pStyle w:val="Normal"/>
        <w:spacing w:lineRule="auto" w:line="360" w:before="0" w:after="200"/>
        <w:jc w:val="both"/>
        <w:rPr>
          <w:rFonts w:ascii="Arial" w:hAnsi="Arial" w:cs="Arial"/>
        </w:rPr>
      </w:pPr>
      <w:r>
        <w:rPr>
          <w:rFonts w:cs="Arial" w:ascii="Arial" w:hAnsi="Arial"/>
          <w:b/>
        </w:rPr>
        <w:t>Parágrafo segundo</w:t>
      </w:r>
      <w:r>
        <w:rPr>
          <w:rFonts w:cs="Arial" w:ascii="Arial" w:hAnsi="Arial"/>
        </w:rPr>
        <w:t xml:space="preserve"> – O valor total do presente contrato é de R$ 6.400, 00 (seis mil e quatrocentos reais);</w:t>
      </w:r>
    </w:p>
    <w:p>
      <w:pPr>
        <w:pStyle w:val="Normal"/>
        <w:spacing w:lineRule="auto" w:line="360" w:before="0" w:after="200"/>
        <w:jc w:val="both"/>
        <w:rPr>
          <w:rFonts w:ascii="Arial" w:hAnsi="Arial" w:cs="Arial"/>
        </w:rPr>
      </w:pPr>
      <w:r>
        <w:rPr>
          <w:rFonts w:cs="Arial" w:ascii="Arial" w:hAnsi="Arial"/>
          <w:b/>
        </w:rPr>
        <w:t>Parágrafo terceiro –</w:t>
      </w:r>
      <w:r>
        <w:rPr>
          <w:rFonts w:cs="Arial" w:ascii="Arial" w:hAnsi="Arial"/>
        </w:rPr>
        <w:t xml:space="preserve"> O valor acima referido inclui todos os custos diretos e indiretos, bem como deveres, obrigações e encargos de qualquer natureza, não sendo devido à Contratada qualquer outro pagamento resultante da execução deste ajuste.</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SEGUNDA – DA DOTAÇÃO ORÇAMENTÁRIA</w:t>
      </w:r>
    </w:p>
    <w:p>
      <w:pPr>
        <w:pStyle w:val="Normal"/>
        <w:spacing w:lineRule="auto" w:line="360" w:before="0" w:after="200"/>
        <w:jc w:val="both"/>
        <w:rPr>
          <w:rFonts w:ascii="Arial" w:hAnsi="Arial" w:cs="Arial"/>
        </w:rPr>
      </w:pPr>
      <w:r>
        <w:rPr>
          <w:rFonts w:cs="Arial" w:ascii="Arial" w:hAnsi="Arial"/>
        </w:rPr>
        <w:t>As despesas decorrentes da presente contratação correrão à conta de recursos específicos consignados na Lei Complementar nº 85/2021, na dotação abaixo discriminada:</w:t>
      </w:r>
    </w:p>
    <w:p>
      <w:pPr>
        <w:pStyle w:val="Normal"/>
        <w:spacing w:lineRule="auto" w:line="360" w:before="0" w:after="200"/>
        <w:jc w:val="both"/>
        <w:rPr>
          <w:rFonts w:ascii="Arial" w:hAnsi="Arial" w:cs="Arial"/>
        </w:rPr>
      </w:pPr>
      <w:r>
        <w:rPr>
          <w:rFonts w:cs="Arial" w:ascii="Arial" w:hAnsi="Arial"/>
        </w:rPr>
        <w:t>000001 – CÂMARA MUNICIPAL</w:t>
      </w:r>
    </w:p>
    <w:p>
      <w:pPr>
        <w:pStyle w:val="Normal"/>
        <w:spacing w:lineRule="auto" w:line="360" w:before="0" w:after="200"/>
        <w:jc w:val="both"/>
        <w:rPr>
          <w:rFonts w:ascii="Arial" w:hAnsi="Arial" w:cs="Arial"/>
        </w:rPr>
      </w:pPr>
      <w:r>
        <w:rPr>
          <w:rFonts w:cs="Arial" w:ascii="Arial" w:hAnsi="Arial"/>
        </w:rPr>
        <w:t>01.031.0001.2.001 – Manutenção de Atividades da Câmara Municipal</w:t>
      </w:r>
    </w:p>
    <w:p>
      <w:pPr>
        <w:pStyle w:val="Normal"/>
        <w:spacing w:lineRule="auto" w:line="360" w:before="0" w:after="200"/>
        <w:jc w:val="both"/>
        <w:rPr>
          <w:rFonts w:ascii="Arial" w:hAnsi="Arial" w:cs="Arial"/>
        </w:rPr>
      </w:pPr>
      <w:r>
        <w:rPr>
          <w:rFonts w:cs="Arial" w:ascii="Arial" w:hAnsi="Arial"/>
        </w:rPr>
        <w:t>3.0.00.00.000 – Despesas Correntes</w:t>
      </w:r>
    </w:p>
    <w:p>
      <w:pPr>
        <w:pStyle w:val="Normal"/>
        <w:spacing w:lineRule="auto" w:line="360" w:before="0" w:after="200"/>
        <w:jc w:val="both"/>
        <w:rPr>
          <w:rFonts w:ascii="Arial" w:hAnsi="Arial" w:cs="Arial"/>
        </w:rPr>
      </w:pPr>
      <w:r>
        <w:rPr>
          <w:rFonts w:cs="Arial" w:ascii="Arial" w:hAnsi="Arial"/>
        </w:rPr>
        <w:t>3.3.00.00.000 – Outras Despesas Correntes</w:t>
      </w:r>
    </w:p>
    <w:p>
      <w:pPr>
        <w:pStyle w:val="Normal"/>
        <w:spacing w:lineRule="auto" w:line="360" w:before="0" w:after="200"/>
        <w:jc w:val="both"/>
        <w:rPr>
          <w:rFonts w:ascii="Arial" w:hAnsi="Arial" w:cs="Arial"/>
        </w:rPr>
      </w:pPr>
      <w:r>
        <w:rPr>
          <w:rFonts w:cs="Arial" w:ascii="Arial" w:hAnsi="Arial"/>
        </w:rPr>
        <w:t>3.3.90.00.000 – Aplicações Diretas</w:t>
      </w:r>
    </w:p>
    <w:p>
      <w:pPr>
        <w:pStyle w:val="Normal"/>
        <w:spacing w:lineRule="auto" w:line="360" w:before="0" w:after="200"/>
        <w:jc w:val="both"/>
        <w:rPr>
          <w:rFonts w:ascii="Arial" w:hAnsi="Arial" w:cs="Arial"/>
        </w:rPr>
      </w:pPr>
      <w:r>
        <w:rPr>
          <w:rFonts w:cs="Arial" w:ascii="Arial" w:hAnsi="Arial"/>
        </w:rPr>
        <w:t>3.3.90.39.000 – Outros Serviços de Terceiros – Pessoa Jurídica</w:t>
      </w:r>
    </w:p>
    <w:p>
      <w:pPr>
        <w:pStyle w:val="Normal"/>
        <w:spacing w:lineRule="auto" w:line="360" w:before="0" w:after="200"/>
        <w:jc w:val="both"/>
        <w:rPr>
          <w:rFonts w:ascii="Arial" w:hAnsi="Arial" w:cs="Arial"/>
        </w:rPr>
      </w:pPr>
      <w:r>
        <w:rPr>
          <w:rFonts w:cs="Arial" w:ascii="Arial" w:hAnsi="Arial"/>
        </w:rPr>
        <w:t>Fonte de Recursos – 10000000 – Recursos Ordinários</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TERCEIRA – DA GARANTIA E ASSISTÊNCIA TÉCNICA</w:t>
      </w:r>
    </w:p>
    <w:p>
      <w:pPr>
        <w:pStyle w:val="Normal"/>
        <w:spacing w:lineRule="auto" w:line="360" w:before="0" w:after="200"/>
        <w:jc w:val="both"/>
        <w:rPr>
          <w:rFonts w:ascii="Arial" w:hAnsi="Arial" w:cs="Arial"/>
          <w:b/>
          <w:b/>
        </w:rPr>
      </w:pPr>
      <w:r>
        <w:rPr>
          <w:rFonts w:cs="Arial" w:ascii="Arial" w:hAnsi="Arial"/>
        </w:rPr>
        <w:t>A Contratada deverá prestar manutenção técnica especializada com atendimento dos requisitos técnicos abaixo relacionados:</w:t>
      </w:r>
    </w:p>
    <w:p>
      <w:pPr>
        <w:pStyle w:val="PargrafodaLista"/>
        <w:numPr>
          <w:ilvl w:val="1"/>
          <w:numId w:val="2"/>
        </w:numPr>
        <w:spacing w:lineRule="auto" w:line="360" w:before="0" w:after="200"/>
        <w:contextualSpacing/>
        <w:jc w:val="both"/>
        <w:rPr>
          <w:rFonts w:ascii="Arial" w:hAnsi="Arial" w:eastAsia="Arial" w:cs="Arial"/>
        </w:rPr>
      </w:pPr>
      <w:r>
        <w:rPr>
          <w:rFonts w:eastAsia="Arial" w:cs="Arial" w:ascii="Arial" w:hAnsi="Arial"/>
        </w:rPr>
        <w:t>O Link Dedicado de 2Gbps com a Internet deve ser entregue no Ponto Central com redundância através de 2 (duas) conexões distintas de 1Gbps cada entre o ponto de presença da Empresa e o Ponto Central. A conexão que ficar como a de “backup” deverá suportar no mínimo 100% (cem por cento) da velocidade de 2Gbps. Neste Link de Backup/Contingência a Empresa poderá ficar no máximo em 24hs.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Os custos devem abranger a utilização de todos os equipamentos necessários à comunicação (modems, roteadores, etc.) e linhas de transmissão de dados que venham a ser necessários. Os custos envolvidos na sua implantação (alocação de profissionais, instalação dos equipamentos, etc.) deverão estar inclusos na taxa de instalação e os custos pelo uso destes equipamentos ou linhas e sua manutenção devem estar compreendidos no valor da mensalidade do serviço de comunicação de dados.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substituição dos equipamentos em caso de problemas é de inteira responsabilidade da CONTRATADA.</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O serviço de instalação deverá incluir o fornecimento, instalação e configuração de qualquer equipamento necessário para a interligação, inclusive roteadores e modems se a solução a ser adotada impuser o uso destes equipamentos.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taxa de instalação ou ativação somente poderá ser cobrada uma única vez, na ativação do circuito.</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Durante a vigência do contrato, não poderá incidir qualquer taxa referente ao aumento ou a redução dos serviços solicitados.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Garantia de conexão 24 horas por dia e 7 dias por semana;</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Garantia total da banda contratada com redundância;</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Link Simétrico, mesma velocidade de download e upload;</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2 endereços IP fixos;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Velocidade do Link de conexão com a Internet de no mínimo 1Gbps por nó de interconexão;</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Suporte Técnico para o Link, deverá ser prestado em horário de expediente da Câmara (Manhã: 8h às 11h30min – Tarde: 13h30min às 18hs) com prazo máximo de 04 horas para solução de problemas, após a abertura do chamado técnico;</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Após a abertura do chamado técnico, este deverá estar no local ou entrar em contato com a Câmara para fins de análise do problema em no máximo 45 minutos;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empresa deverá possuir outorga da ANATEL para explorar os Serviços SCM;</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Deverá possuir documento comprobatório da autorização de compartilhamento de infraestrutura por parte da empresa concessionária de serviços elétricos;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Prover uma conectividade à Internet, com taxa de transmissão de 1Gbps (Um Gigabits por segundo) full duplex, por nó de interconexão, isto é, a taxa de transmissão fornecida deverá suportar 1Gbps (Um Gigabits por segundo) de tráfego de entrada e 1Gbps (Um Gigabits por segundo) de tráfego de saída, simultaneamente por nó de interconexão.</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taxa de transmissão deverá sempre estar disponível na totalidade do fluxo contratado e não deve incluir a taxa de overhead de protocolos até a camada 2 do modelo OSI;</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interligação deve ser em conexão permanente, dedicada e exclusiva, desde as dependências da Câmara até a conexão à infraestrutura de comunicação da Contratada, obedecendo às recomendações elaboradas pela Electronic Industries.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Ser provido com base em uma infraestrutura de fibra-óptica, como meio de acesso, vedada a utilização de qualquer outra tecnologia de acesso.</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 Contratada se responsabilizará pelo fornecimento e instalação dos materiais e equipamentos necessários à prestação do serviço (cabos, conectores, switchs, modens, roteadores, roteadores Mesh, armários e bastidores).</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Após a implantação do link, solicitações de instalação, retirada e alteração de características físicas já existentes, incluindo as configurações em equipamentos de comunicação de dados decorrentes dessas mudanças, serão por conta da Contratada.</w:t>
      </w:r>
    </w:p>
    <w:p>
      <w:pPr>
        <w:pStyle w:val="PargrafodaLista"/>
        <w:numPr>
          <w:ilvl w:val="1"/>
          <w:numId w:val="2"/>
        </w:numPr>
        <w:spacing w:lineRule="auto" w:line="360" w:before="0" w:after="200"/>
        <w:contextualSpacing/>
        <w:jc w:val="both"/>
        <w:rPr>
          <w:rFonts w:ascii="Arial" w:hAnsi="Arial" w:eastAsia="Arial" w:cs="Arial"/>
        </w:rPr>
      </w:pPr>
      <w:r>
        <w:rPr>
          <w:rFonts w:cs="Arial" w:ascii="Arial" w:hAnsi="Arial"/>
        </w:rPr>
        <w:t>Após o início oficial de operação do link contratado, quaisquer demandas de configuração em equipamento de comunicação de dados, não decorrentes de solicitações descritas na sub cláusula anterior, deverão ser realizadas pela Contratada em, no máximo, 24 (vinte e quatro) horas;</w:t>
      </w:r>
    </w:p>
    <w:p>
      <w:pPr>
        <w:pStyle w:val="Normal"/>
        <w:spacing w:lineRule="auto" w:line="360" w:before="0" w:after="200"/>
        <w:jc w:val="both"/>
        <w:rPr>
          <w:rFonts w:ascii="Arial" w:hAnsi="Arial" w:eastAsia="Arial" w:cs="Arial"/>
          <w:b/>
          <w:b/>
        </w:rPr>
      </w:pPr>
      <w:r>
        <w:rPr>
          <w:rFonts w:eastAsia="Arial" w:cs="Arial" w:ascii="Arial" w:hAnsi="Arial"/>
          <w:b/>
        </w:rPr>
      </w:r>
    </w:p>
    <w:p>
      <w:pPr>
        <w:pStyle w:val="Normal"/>
        <w:spacing w:lineRule="auto" w:line="360" w:before="0" w:after="200"/>
        <w:jc w:val="both"/>
        <w:rPr>
          <w:rFonts w:ascii="Arial" w:hAnsi="Arial" w:cs="Arial"/>
          <w:b/>
          <w:b/>
        </w:rPr>
      </w:pPr>
      <w:r>
        <w:rPr>
          <w:rFonts w:cs="Arial" w:ascii="Arial" w:hAnsi="Arial"/>
          <w:b/>
        </w:rPr>
        <w:t>CLÁUSULA QUARTA – DAS OBRIGAÇÕES DA CONTRATANTE</w:t>
      </w:r>
    </w:p>
    <w:p>
      <w:pPr>
        <w:pStyle w:val="Normal"/>
        <w:spacing w:lineRule="auto" w:line="360" w:before="0" w:after="200"/>
        <w:jc w:val="both"/>
        <w:rPr>
          <w:rFonts w:ascii="Arial" w:hAnsi="Arial" w:cs="Arial"/>
        </w:rPr>
      </w:pPr>
      <w:r>
        <w:rPr>
          <w:rFonts w:cs="Arial" w:ascii="Arial" w:hAnsi="Arial"/>
        </w:rPr>
        <w:t>São obrigações da Contratante, além daquelas explícita ou implicitamente contidas no presente contrato e na legislação vigente:</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Permitir acesso dos empregados da CONTRATADA às suas dependências para execução de serviços, quando necessário;</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Prestar as informações e os esclarecimentos que venham a ser solicitados pelos empregados da CONTRATADA;</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Assegurar-se da boa prestação dos serviços, verificando sempre o seu bom desempenho;</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Fiscalizar o cumprimento das obrigações assumidas pela CONTRATADA, inclusive quanto à continuidade da prestação dos serviços, que, ressalvados os casos de força maior, justificados e aceitos, não devem ser interrompidas;</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Tornar disponíveis as instalações e os equipamentos necessários à prestação dos serviços, quando for o caso;</w:t>
      </w:r>
    </w:p>
    <w:p>
      <w:pPr>
        <w:pStyle w:val="PargrafodaLista"/>
        <w:numPr>
          <w:ilvl w:val="1"/>
          <w:numId w:val="10"/>
        </w:numPr>
        <w:spacing w:lineRule="auto" w:line="360" w:before="0" w:after="200"/>
        <w:contextualSpacing/>
        <w:jc w:val="both"/>
        <w:rPr>
          <w:rFonts w:ascii="Arial" w:hAnsi="Arial" w:cs="Arial"/>
          <w:b/>
          <w:b/>
        </w:rPr>
      </w:pPr>
      <w:r>
        <w:rPr>
          <w:rFonts w:cs="Arial" w:ascii="Arial" w:hAnsi="Arial"/>
        </w:rPr>
        <w:t>Relacionar as dependências das instalações físicas, bem como os bens de sua propriedade que serão disponibilizados para a execução dos serviços, quando for o caso, com a indicação do respectivo estado de conservação.</w:t>
      </w:r>
    </w:p>
    <w:p>
      <w:pPr>
        <w:pStyle w:val="Normal"/>
        <w:spacing w:lineRule="auto" w:line="360"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b/>
          <w:b/>
        </w:rPr>
      </w:pPr>
      <w:r>
        <w:rPr>
          <w:rFonts w:cs="Arial" w:ascii="Arial" w:hAnsi="Arial"/>
          <w:b/>
        </w:rPr>
        <w:t>CLÁUSULA QUINTA – DAS OBRIGAÇÕES DA CONTRATADA</w:t>
      </w:r>
    </w:p>
    <w:p>
      <w:pPr>
        <w:pStyle w:val="Normal"/>
        <w:spacing w:lineRule="auto" w:line="360" w:before="0" w:after="200"/>
        <w:jc w:val="both"/>
        <w:rPr/>
      </w:pPr>
      <w:r>
        <w:rPr>
          <w:rFonts w:cs="Arial" w:ascii="Arial" w:hAnsi="Arial"/>
        </w:rPr>
        <w:t>São obrigações da Contratada, além daquelas explícita ou implicitamente contidas no presente contrato e na legislação vigente:</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Obedecer às especificações constantes neste Termo;</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Responsabilizar-se pela entrega do material/execução dos serviços, ressaltando que todas as despesas de transporte e outras necessárias ao cumprimento de suas obrigações serão de responsabilidade da contratada;</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Realizar a entrega/executar os serviços dentro do prazo estipulado;</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O retardamento na entrega do objeto/execução dos serviços, não justificado considerar-se-á como infração contratual;</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Responsabilizar-se pelos danos causados diretamente à Administração ou a terceiros, decorrentes de sua culpa ou dolo na execução do Contrato, não excluindo ou reduzindo essa responsabilidade à fiscalização ou o acompanhamento pelo órgão interessado;</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Manter com a Contratante relação sempre formal, por escrito, ressalvados os entendimentos verbais motivados pela urgência, que deverão ser de imediato, confirmados por escrito;</w:t>
      </w:r>
    </w:p>
    <w:p>
      <w:pPr>
        <w:pStyle w:val="PargrafodaLista"/>
        <w:numPr>
          <w:ilvl w:val="1"/>
          <w:numId w:val="9"/>
        </w:numPr>
        <w:spacing w:lineRule="auto" w:line="360" w:before="0" w:after="200"/>
        <w:contextualSpacing/>
        <w:jc w:val="both"/>
        <w:rPr>
          <w:rFonts w:ascii="Arial" w:hAnsi="Arial" w:cs="Arial"/>
          <w:b/>
          <w:b/>
        </w:rPr>
      </w:pPr>
      <w:r>
        <w:rPr>
          <w:rFonts w:cs="Arial" w:ascii="Arial" w:hAnsi="Arial"/>
        </w:rPr>
        <w:t>Arcar com todos os ônus e encargos decorrentes da execução do objeto do contrato, compreendidas todas as despesas incidentes direta ou indiretamente no custo, inclusive os previdenciários e fiscais, tais como impostos ou taxas, custos de deslocamento necessários ao fornecimento dos bens objeto deste Termo.</w:t>
      </w:r>
    </w:p>
    <w:p>
      <w:pPr>
        <w:pStyle w:val="Normal"/>
        <w:spacing w:lineRule="auto" w:line="360"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b/>
          <w:b/>
        </w:rPr>
      </w:pPr>
      <w:r>
        <w:rPr>
          <w:rFonts w:cs="Arial" w:ascii="Arial" w:hAnsi="Arial"/>
          <w:b/>
        </w:rPr>
        <w:t>CLÁUSULA SEXTA – DO PAGAMENTO</w:t>
      </w:r>
    </w:p>
    <w:p>
      <w:pPr>
        <w:pStyle w:val="Normal"/>
        <w:spacing w:lineRule="auto" w:line="360" w:before="0" w:after="200"/>
        <w:jc w:val="both"/>
        <w:rPr>
          <w:rFonts w:ascii="Arial" w:hAnsi="Arial" w:cs="Arial"/>
        </w:rPr>
      </w:pPr>
      <w:r>
        <w:rPr>
          <w:rFonts w:cs="Arial" w:ascii="Arial" w:hAnsi="Arial"/>
        </w:rPr>
        <w:t>O pagamento será efetuado, mensalmente, sem qualquer acréscimo financeiro, até o 5º dia útil subsequente ao recebimento definitivo do objeto, observada a ordem cronológica estabelecida no art. 5º da Lei 8.666/93.</w:t>
      </w:r>
    </w:p>
    <w:p>
      <w:pPr>
        <w:pStyle w:val="Normal"/>
        <w:numPr>
          <w:ilvl w:val="1"/>
          <w:numId w:val="8"/>
        </w:numPr>
        <w:spacing w:lineRule="auto" w:line="360" w:before="0" w:after="200"/>
        <w:ind w:start="720" w:hanging="720"/>
        <w:jc w:val="both"/>
        <w:rPr>
          <w:rFonts w:ascii="Arial" w:hAnsi="Arial" w:cs="Arial"/>
        </w:rPr>
      </w:pPr>
      <w:r>
        <w:rPr>
          <w:rFonts w:cs="Arial" w:ascii="Arial" w:hAnsi="Arial"/>
        </w:rPr>
        <w:t>Condiciona-se o pagamento a:</w:t>
      </w:r>
    </w:p>
    <w:p>
      <w:pPr>
        <w:pStyle w:val="Normal"/>
        <w:numPr>
          <w:ilvl w:val="2"/>
          <w:numId w:val="8"/>
        </w:numPr>
        <w:spacing w:lineRule="auto" w:line="360" w:before="0" w:after="200"/>
        <w:ind w:start="720" w:hanging="720"/>
        <w:jc w:val="both"/>
        <w:rPr>
          <w:rFonts w:ascii="Arial" w:hAnsi="Arial" w:cs="Arial"/>
        </w:rPr>
      </w:pPr>
      <w:r>
        <w:rPr>
          <w:rFonts w:cs="Arial" w:ascii="Arial" w:hAnsi="Arial"/>
        </w:rPr>
        <w:t>Apresentação da nota fiscal/fatura discriminativa da execução do objeto contratado;</w:t>
      </w:r>
    </w:p>
    <w:p>
      <w:pPr>
        <w:pStyle w:val="Normal"/>
        <w:numPr>
          <w:ilvl w:val="2"/>
          <w:numId w:val="8"/>
        </w:numPr>
        <w:spacing w:lineRule="auto" w:line="360" w:before="0" w:after="200"/>
        <w:ind w:start="720" w:hanging="720"/>
        <w:jc w:val="both"/>
        <w:rPr>
          <w:rFonts w:ascii="Arial" w:hAnsi="Arial" w:cs="Arial"/>
        </w:rPr>
      </w:pPr>
      <w:r>
        <w:rPr>
          <w:rFonts w:cs="Arial" w:ascii="Arial" w:hAnsi="Arial"/>
        </w:rPr>
        <w:t>Declaração da fiscalização do contrato de que o serviço foi executado na forma avençada;</w:t>
      </w:r>
    </w:p>
    <w:p>
      <w:pPr>
        <w:pStyle w:val="Normal"/>
        <w:numPr>
          <w:ilvl w:val="1"/>
          <w:numId w:val="8"/>
        </w:numPr>
        <w:spacing w:lineRule="auto" w:line="360" w:before="0" w:after="200"/>
        <w:ind w:start="720" w:hanging="720"/>
        <w:jc w:val="both"/>
        <w:rPr>
          <w:rFonts w:ascii="Arial" w:hAnsi="Arial" w:cs="Arial"/>
        </w:rPr>
      </w:pPr>
      <w:r>
        <w:rPr>
          <w:rFonts w:cs="Arial" w:ascii="Arial" w:hAnsi="Arial"/>
        </w:rPr>
        <w:t>Por ocasião do pagamento, deverá ser verificada a regularidade da Contratada perante a Seguridade Social (Certidão Negativa de Débito – CND e Certidão Conjunta de Débitos Relativos a Tributos Federais e à Dívida Ativa da União), o Fundo de Garantia do Tempo de Serviço (Certidão de Regularidade de Situação – CRS), a Justiça Trabalhista (Certidão Negativa de Débitos Trabalhistas - CNDT) e a Fazenda Municipal (Certidão de Quitação de Tributos Municipais ou Certidão que comprove a regularidade com o ISS, emitida pelo órgão competente).</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SÉTIMA – DA VIGÊNCIA</w:t>
      </w:r>
    </w:p>
    <w:p>
      <w:pPr>
        <w:pStyle w:val="Normal"/>
        <w:spacing w:lineRule="auto" w:line="360" w:before="0" w:after="200"/>
        <w:jc w:val="both"/>
        <w:rPr/>
      </w:pPr>
      <w:r>
        <w:rPr>
          <w:rFonts w:cs="Arial" w:ascii="Arial" w:hAnsi="Arial"/>
        </w:rPr>
        <w:t>O presente contrato terá vigência de 08 (oito) meses contados da assinatura, podendo ser prorrogado pelo prazo de 12 (doze) meses.</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 xml:space="preserve">CLÁUSULA OITAVA – DO REAJUSTE CONTRATUAL </w:t>
      </w:r>
    </w:p>
    <w:p>
      <w:pPr>
        <w:pStyle w:val="Normal"/>
        <w:spacing w:lineRule="auto" w:line="360" w:before="0" w:after="200"/>
        <w:jc w:val="both"/>
        <w:rPr/>
      </w:pPr>
      <w:r>
        <w:rPr>
          <w:rFonts w:cs="Arial" w:ascii="Arial" w:hAnsi="Arial"/>
        </w:rPr>
        <w:t>Os preços cotados serão fixos e irreajustáveis nos primeiros 12 (doze) meses. Somente após esse período os serviços poderão ser reajustados com base no IGPM, mediante negociação entre as partes, tomando-se como referências o mês da apresentação da proposta de preços, compreendendo sempre o período de 12 (doze) meses;</w:t>
      </w:r>
    </w:p>
    <w:p>
      <w:pPr>
        <w:pStyle w:val="Normal"/>
        <w:numPr>
          <w:ilvl w:val="1"/>
          <w:numId w:val="4"/>
        </w:numPr>
        <w:spacing w:lineRule="auto" w:line="360" w:before="0" w:after="200"/>
        <w:ind w:start="720" w:hanging="720"/>
        <w:jc w:val="both"/>
        <w:rPr/>
      </w:pPr>
      <w:r>
        <w:rPr>
          <w:rFonts w:cs="Arial" w:ascii="Arial" w:hAnsi="Arial"/>
        </w:rPr>
        <w:t>A administração antes de conceder o reajuste poderá exigir que a CONTRATADA apresente planilha demonstrativa com a efetiva variação de seus custos ocorrida no período do reajuste proposto.</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NONA – DA INEXECUÇÃO DAS OBRIGAÇÕES E DAS PENALIDADES</w:t>
      </w:r>
    </w:p>
    <w:p>
      <w:pPr>
        <w:pStyle w:val="Normal"/>
        <w:numPr>
          <w:ilvl w:val="1"/>
          <w:numId w:val="3"/>
        </w:numPr>
        <w:spacing w:lineRule="auto" w:line="360" w:before="0" w:after="200"/>
        <w:ind w:start="720" w:hanging="720"/>
        <w:jc w:val="both"/>
        <w:rPr>
          <w:rFonts w:ascii="Arial" w:hAnsi="Arial" w:cs="Arial"/>
        </w:rPr>
      </w:pPr>
      <w:r>
        <w:rPr>
          <w:rFonts w:cs="Arial" w:ascii="Arial" w:hAnsi="Arial"/>
        </w:rPr>
        <w:t>Ficará IMPEDIDA DE LICITAR E DE CONTRATAR com a União e será descredenciado do cadastramento de fornecedores da Câmara Municipal, PELO PRAZO DE ATÉ 02 (dois) anos, sem prejuízo das multas previstas no contrato e das demais cominações legais, garantida ampla defesa, enquanto perdurarem os motivos determinantes da punição ou até que seja promovida a reabilitação perante a própria autoridade que aplicou a penalidade, a licitante que:</w:t>
      </w:r>
    </w:p>
    <w:p>
      <w:pPr>
        <w:pStyle w:val="Normal"/>
        <w:numPr>
          <w:ilvl w:val="0"/>
          <w:numId w:val="7"/>
        </w:numPr>
        <w:spacing w:lineRule="auto" w:line="360" w:before="0" w:after="200"/>
        <w:ind w:start="360" w:hanging="360"/>
        <w:jc w:val="both"/>
        <w:rPr>
          <w:rFonts w:ascii="Arial" w:hAnsi="Arial" w:cs="Arial"/>
        </w:rPr>
      </w:pPr>
      <w:r>
        <w:rPr>
          <w:rFonts w:cs="Arial" w:ascii="Arial" w:hAnsi="Arial"/>
        </w:rPr>
        <w:t>Não mantiver a proposta, injustificadamente;</w:t>
      </w:r>
    </w:p>
    <w:p>
      <w:pPr>
        <w:pStyle w:val="Normal"/>
        <w:numPr>
          <w:ilvl w:val="0"/>
          <w:numId w:val="7"/>
        </w:numPr>
        <w:spacing w:lineRule="auto" w:line="360" w:before="0" w:after="200"/>
        <w:ind w:start="360" w:hanging="360"/>
        <w:jc w:val="both"/>
        <w:rPr>
          <w:rFonts w:ascii="Arial" w:hAnsi="Arial" w:cs="Arial"/>
        </w:rPr>
      </w:pPr>
      <w:r>
        <w:rPr>
          <w:rFonts w:cs="Arial" w:ascii="Arial" w:hAnsi="Arial"/>
        </w:rPr>
        <w:t>Comportar-se de modo inidôneo;</w:t>
      </w:r>
    </w:p>
    <w:p>
      <w:pPr>
        <w:pStyle w:val="Normal"/>
        <w:numPr>
          <w:ilvl w:val="0"/>
          <w:numId w:val="7"/>
        </w:numPr>
        <w:spacing w:lineRule="auto" w:line="360" w:before="0" w:after="200"/>
        <w:ind w:start="360" w:hanging="360"/>
        <w:jc w:val="both"/>
        <w:rPr>
          <w:rFonts w:ascii="Arial" w:hAnsi="Arial" w:cs="Arial"/>
        </w:rPr>
      </w:pPr>
      <w:r>
        <w:rPr>
          <w:rFonts w:cs="Arial" w:ascii="Arial" w:hAnsi="Arial"/>
        </w:rPr>
        <w:t>Fizer declaração falsa relativa ao cumprimento dos requisitos de habilitação;</w:t>
      </w:r>
    </w:p>
    <w:p>
      <w:pPr>
        <w:pStyle w:val="Normal"/>
        <w:numPr>
          <w:ilvl w:val="0"/>
          <w:numId w:val="7"/>
        </w:numPr>
        <w:spacing w:lineRule="auto" w:line="360" w:before="0" w:after="200"/>
        <w:ind w:start="360" w:hanging="360"/>
        <w:jc w:val="both"/>
        <w:rPr>
          <w:rFonts w:ascii="Arial" w:hAnsi="Arial" w:cs="Arial"/>
        </w:rPr>
      </w:pPr>
      <w:r>
        <w:rPr>
          <w:rFonts w:cs="Arial" w:ascii="Arial" w:hAnsi="Arial"/>
        </w:rPr>
        <w:t>Cometer fraude fiscal;</w:t>
      </w:r>
    </w:p>
    <w:p>
      <w:pPr>
        <w:pStyle w:val="Normal"/>
        <w:numPr>
          <w:ilvl w:val="0"/>
          <w:numId w:val="7"/>
        </w:numPr>
        <w:spacing w:lineRule="auto" w:line="360" w:before="0" w:after="200"/>
        <w:ind w:start="360" w:hanging="360"/>
        <w:jc w:val="both"/>
        <w:rPr>
          <w:rFonts w:ascii="Arial" w:hAnsi="Arial" w:cs="Arial"/>
        </w:rPr>
      </w:pPr>
      <w:r>
        <w:rPr>
          <w:rFonts w:cs="Arial" w:ascii="Arial" w:hAnsi="Arial"/>
        </w:rPr>
        <w:t>Falhar ou fraudar na execução do contrato;</w:t>
      </w:r>
    </w:p>
    <w:p>
      <w:pPr>
        <w:pStyle w:val="Normal"/>
        <w:numPr>
          <w:ilvl w:val="0"/>
          <w:numId w:val="7"/>
        </w:numPr>
        <w:spacing w:lineRule="auto" w:line="360" w:before="0" w:after="200"/>
        <w:ind w:start="360" w:hanging="360"/>
        <w:jc w:val="both"/>
        <w:rPr>
          <w:rFonts w:ascii="Arial" w:hAnsi="Arial" w:cs="Arial"/>
        </w:rPr>
      </w:pPr>
      <w:r>
        <w:rPr>
          <w:rFonts w:cs="Arial" w:ascii="Arial" w:hAnsi="Arial"/>
        </w:rPr>
        <w:t>Não apresentar situação regular, no ato de assinatura do contrato;</w:t>
      </w:r>
    </w:p>
    <w:p>
      <w:pPr>
        <w:pStyle w:val="Normal"/>
        <w:numPr>
          <w:ilvl w:val="0"/>
          <w:numId w:val="7"/>
        </w:numPr>
        <w:spacing w:lineRule="auto" w:line="360" w:before="0" w:after="200"/>
        <w:ind w:start="360" w:hanging="360"/>
        <w:jc w:val="both"/>
        <w:rPr>
          <w:rFonts w:ascii="Arial" w:hAnsi="Arial" w:cs="Arial"/>
        </w:rPr>
      </w:pPr>
      <w:r>
        <w:rPr>
          <w:rFonts w:cs="Arial" w:ascii="Arial" w:hAnsi="Arial"/>
        </w:rPr>
        <w:t>Recusar-se injustificadamente a assinar o contrato;</w:t>
      </w:r>
    </w:p>
    <w:p>
      <w:pPr>
        <w:pStyle w:val="Normal"/>
        <w:numPr>
          <w:ilvl w:val="0"/>
          <w:numId w:val="7"/>
        </w:numPr>
        <w:spacing w:lineRule="auto" w:line="360" w:before="0" w:after="200"/>
        <w:ind w:start="360" w:hanging="360"/>
        <w:jc w:val="both"/>
        <w:rPr>
          <w:rFonts w:ascii="Arial" w:hAnsi="Arial" w:cs="Arial"/>
        </w:rPr>
      </w:pPr>
      <w:r>
        <w:rPr>
          <w:rFonts w:cs="Arial" w:ascii="Arial" w:hAnsi="Arial"/>
        </w:rPr>
        <w:t>Não fornecer o objeto;</w:t>
      </w:r>
    </w:p>
    <w:p>
      <w:pPr>
        <w:pStyle w:val="Normal"/>
        <w:numPr>
          <w:ilvl w:val="0"/>
          <w:numId w:val="7"/>
        </w:numPr>
        <w:spacing w:lineRule="auto" w:line="360" w:before="0" w:after="200"/>
        <w:ind w:start="360" w:hanging="360"/>
        <w:jc w:val="both"/>
        <w:rPr>
          <w:rFonts w:ascii="Arial" w:hAnsi="Arial" w:cs="Arial"/>
        </w:rPr>
      </w:pPr>
      <w:r>
        <w:rPr>
          <w:rFonts w:cs="Arial" w:ascii="Arial" w:hAnsi="Arial"/>
        </w:rPr>
        <w:t>Retardar a entrega do objeto;</w:t>
      </w:r>
    </w:p>
    <w:p>
      <w:pPr>
        <w:pStyle w:val="Normal"/>
        <w:numPr>
          <w:ilvl w:val="0"/>
          <w:numId w:val="7"/>
        </w:numPr>
        <w:spacing w:lineRule="auto" w:line="360" w:before="0" w:after="200"/>
        <w:ind w:start="360" w:hanging="360"/>
        <w:jc w:val="both"/>
        <w:rPr>
          <w:rFonts w:ascii="Arial" w:hAnsi="Arial" w:cs="Arial"/>
        </w:rPr>
      </w:pPr>
      <w:r>
        <w:rPr>
          <w:rFonts w:cs="Arial" w:ascii="Arial" w:hAnsi="Arial"/>
        </w:rPr>
        <w:t>Fornecer objeto que não atenda à especificação exigida.</w:t>
      </w:r>
    </w:p>
    <w:p>
      <w:pPr>
        <w:pStyle w:val="Normal"/>
        <w:numPr>
          <w:ilvl w:val="1"/>
          <w:numId w:val="3"/>
        </w:numPr>
        <w:spacing w:lineRule="auto" w:line="360" w:before="0" w:after="200"/>
        <w:ind w:start="720" w:hanging="720"/>
        <w:jc w:val="both"/>
        <w:rPr>
          <w:rFonts w:ascii="Arial" w:hAnsi="Arial" w:cs="Arial"/>
        </w:rPr>
      </w:pPr>
      <w:r>
        <w:rPr>
          <w:rFonts w:cs="Arial" w:ascii="Arial" w:hAnsi="Arial"/>
        </w:rPr>
        <w:t>A Administração poderá aplicar à CONTRATADA, pela inexecução total ou parcial do objeto contratado, as sanções previstas no art. 7º da Lei nº 10.520/2002, sendo a multa calculada dentro dos seguintes parâmetros:</w:t>
      </w:r>
    </w:p>
    <w:p>
      <w:pPr>
        <w:pStyle w:val="Normal"/>
        <w:numPr>
          <w:ilvl w:val="0"/>
          <w:numId w:val="5"/>
        </w:numPr>
        <w:spacing w:lineRule="auto" w:line="360" w:before="0" w:after="200"/>
        <w:ind w:start="360" w:hanging="360"/>
        <w:jc w:val="both"/>
        <w:rPr/>
      </w:pPr>
      <w:r>
        <w:rPr>
          <w:rFonts w:cs="Arial" w:ascii="Arial" w:hAnsi="Arial"/>
        </w:rPr>
        <w:t>Inexecução parcial: 5% (cinco por cento) sobre o valor de uma mensalidade para cada condição técnica descumprida. A multa deverá ser reaplicada nos meses subsequentes em caso de continuidade do descumprimento das obrigações;</w:t>
      </w:r>
    </w:p>
    <w:p>
      <w:pPr>
        <w:pStyle w:val="Normal"/>
        <w:numPr>
          <w:ilvl w:val="0"/>
          <w:numId w:val="5"/>
        </w:numPr>
        <w:spacing w:lineRule="auto" w:line="360" w:before="0" w:after="200"/>
        <w:ind w:start="360" w:hanging="360"/>
        <w:jc w:val="both"/>
        <w:rPr>
          <w:rFonts w:ascii="Arial" w:hAnsi="Arial" w:cs="Arial"/>
        </w:rPr>
      </w:pPr>
      <w:r>
        <w:rPr>
          <w:rFonts w:cs="Arial" w:ascii="Arial" w:hAnsi="Arial"/>
        </w:rPr>
        <w:t>Inexecução total: 20% (vinte por cento) sobre o valor total do contrato, considerado todo o prazo de vigência.</w:t>
      </w:r>
    </w:p>
    <w:p>
      <w:pPr>
        <w:pStyle w:val="Normal"/>
        <w:numPr>
          <w:ilvl w:val="1"/>
          <w:numId w:val="3"/>
        </w:numPr>
        <w:spacing w:lineRule="auto" w:line="360" w:before="0" w:after="200"/>
        <w:ind w:start="720" w:hanging="720"/>
        <w:jc w:val="both"/>
        <w:rPr>
          <w:rFonts w:ascii="Arial" w:hAnsi="Arial" w:cs="Arial"/>
        </w:rPr>
      </w:pPr>
      <w:r>
        <w:rPr>
          <w:rFonts w:cs="Arial" w:ascii="Arial" w:hAnsi="Arial"/>
        </w:rPr>
        <w:t>Comprovado impedimento ou reconhecida força maior em relação a qualquer das hipóteses elencadas nas condições anteriores, ficará a Contratada isenta de penalidade.</w:t>
      </w:r>
    </w:p>
    <w:p>
      <w:pPr>
        <w:pStyle w:val="Normal"/>
        <w:numPr>
          <w:ilvl w:val="1"/>
          <w:numId w:val="3"/>
        </w:numPr>
        <w:spacing w:lineRule="auto" w:line="360" w:before="0" w:after="200"/>
        <w:ind w:start="720" w:hanging="720"/>
        <w:jc w:val="both"/>
        <w:rPr>
          <w:rFonts w:ascii="Arial" w:hAnsi="Arial" w:cs="Arial"/>
        </w:rPr>
      </w:pPr>
      <w:r>
        <w:rPr>
          <w:rFonts w:cs="Arial" w:ascii="Arial" w:hAnsi="Arial"/>
        </w:rPr>
        <w:t>Qualquer penalidade somente poderá ser aplicada mediante processo administrativo, no qual se assegurem a prévia defesa e o contraditório, consoante rito estabelecido no art. 87, § 2º da Lei 8.666/93, aplicando-se, subsidiariamente, a Lei nº 9.784/1999.</w:t>
      </w:r>
    </w:p>
    <w:p>
      <w:pPr>
        <w:pStyle w:val="Normal"/>
        <w:numPr>
          <w:ilvl w:val="1"/>
          <w:numId w:val="3"/>
        </w:numPr>
        <w:spacing w:lineRule="auto" w:line="360" w:before="0" w:after="200"/>
        <w:ind w:start="720" w:hanging="720"/>
        <w:jc w:val="both"/>
        <w:rPr>
          <w:rFonts w:ascii="Arial" w:hAnsi="Arial" w:cs="Arial"/>
        </w:rPr>
      </w:pPr>
      <w:r>
        <w:rPr>
          <w:rFonts w:cs="Arial" w:ascii="Arial" w:hAnsi="Arial"/>
        </w:rPr>
        <w:t>As situações mencionadas no art. 78 da Lei 8.666/93 podem ensejar, a critério da Administração, a rescisão unilateral do contrato.</w:t>
      </w:r>
    </w:p>
    <w:p>
      <w:pPr>
        <w:pStyle w:val="Normal"/>
        <w:spacing w:lineRule="auto" w:line="360" w:before="0" w:after="200"/>
        <w:ind w:start="720" w:hanging="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DÉCIMA – DA ALTERAÇÃO DO CONTRATO</w:t>
      </w:r>
    </w:p>
    <w:p>
      <w:pPr>
        <w:pStyle w:val="Normal"/>
        <w:spacing w:lineRule="auto" w:line="360" w:before="0" w:after="200"/>
        <w:jc w:val="both"/>
        <w:rPr>
          <w:rFonts w:ascii="Arial" w:hAnsi="Arial" w:cs="Arial"/>
        </w:rPr>
      </w:pPr>
      <w:r>
        <w:rPr>
          <w:rFonts w:cs="Arial" w:ascii="Arial" w:hAnsi="Arial"/>
        </w:rPr>
        <w:t>Este contrato poderá ser alterado nos casos previstos no art. 65 da Lei 8.666/93, desde que haja interesse da Contratante, com a apresentação das devidas justificativas.</w:t>
      </w:r>
    </w:p>
    <w:p>
      <w:pPr>
        <w:pStyle w:val="Normal"/>
        <w:spacing w:lineRule="auto" w:line="360"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b/>
          <w:b/>
        </w:rPr>
      </w:pPr>
      <w:r>
        <w:rPr>
          <w:rFonts w:cs="Arial" w:ascii="Arial" w:hAnsi="Arial"/>
          <w:b/>
        </w:rPr>
        <w:t>CLÁUSULA DÉCIMA PRIMEIRA – DA RESCISÃO CONTRATUAL</w:t>
      </w:r>
    </w:p>
    <w:p>
      <w:pPr>
        <w:pStyle w:val="Normal"/>
        <w:spacing w:lineRule="auto" w:line="360" w:before="0" w:after="200"/>
        <w:jc w:val="both"/>
        <w:rPr>
          <w:rFonts w:ascii="Arial" w:hAnsi="Arial" w:cs="Arial"/>
        </w:rPr>
      </w:pPr>
      <w:r>
        <w:rPr>
          <w:rFonts w:cs="Arial" w:ascii="Arial" w:hAnsi="Arial"/>
        </w:rPr>
        <w:t>A inexecução total ou parcial do Contrato enseja a sua rescisão, conforme disposto nos artigos 77 a 80 da Lei 8.666/93, sem prejuízo do constante na cláusula décima.</w:t>
      </w:r>
    </w:p>
    <w:p>
      <w:pPr>
        <w:pStyle w:val="Normal"/>
        <w:numPr>
          <w:ilvl w:val="1"/>
          <w:numId w:val="6"/>
        </w:numPr>
        <w:spacing w:lineRule="auto" w:line="360" w:before="0" w:after="200"/>
        <w:ind w:start="720" w:hanging="720"/>
        <w:jc w:val="both"/>
        <w:rPr>
          <w:rFonts w:ascii="Arial" w:hAnsi="Arial" w:cs="Arial"/>
        </w:rPr>
      </w:pPr>
      <w:r>
        <w:rPr>
          <w:rFonts w:cs="Arial" w:ascii="Arial" w:hAnsi="Arial"/>
        </w:rPr>
        <w:t>Os casos de rescisão contratual serão formalmente motivados nos autos do processo, assegurados o contraditório e a ampla defesa.</w:t>
      </w:r>
    </w:p>
    <w:p>
      <w:pPr>
        <w:pStyle w:val="Normal"/>
        <w:spacing w:lineRule="auto" w:line="360" w:before="0" w:after="200"/>
        <w:jc w:val="both"/>
        <w:rPr>
          <w:rFonts w:ascii="Arial" w:hAnsi="Arial" w:eastAsia="Arial" w:cs="Arial"/>
        </w:rPr>
      </w:pPr>
      <w:r>
        <w:rPr>
          <w:rFonts w:eastAsia="Arial" w:cs="Arial" w:ascii="Arial" w:hAnsi="Arial"/>
        </w:rPr>
        <w:t xml:space="preserve"> </w:t>
      </w:r>
    </w:p>
    <w:p>
      <w:pPr>
        <w:pStyle w:val="Normal"/>
        <w:spacing w:lineRule="auto" w:line="360" w:before="0" w:after="200"/>
        <w:jc w:val="both"/>
        <w:rPr>
          <w:rFonts w:ascii="Arial" w:hAnsi="Arial" w:cs="Arial"/>
          <w:b/>
          <w:b/>
        </w:rPr>
      </w:pPr>
      <w:r>
        <w:rPr>
          <w:rFonts w:cs="Arial" w:ascii="Arial" w:hAnsi="Arial"/>
          <w:b/>
        </w:rPr>
        <w:t>CLÁUSULA DÉCIMA SEGUNDA – DA PUBLICAÇÃO</w:t>
      </w:r>
    </w:p>
    <w:p>
      <w:pPr>
        <w:pStyle w:val="Normal"/>
        <w:spacing w:lineRule="auto" w:line="360" w:before="0" w:after="200"/>
        <w:jc w:val="both"/>
        <w:rPr>
          <w:rFonts w:ascii="Arial" w:hAnsi="Arial" w:cs="Arial"/>
        </w:rPr>
      </w:pPr>
      <w:r>
        <w:rPr>
          <w:rFonts w:cs="Arial" w:ascii="Arial" w:hAnsi="Arial"/>
        </w:rPr>
        <w:t>O presente contrato será publicado, em extrato, no Diário Oficial do Município, conforme prescreve o art. 61, parágrafo único, da Lei 8.666/93.</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b/>
          <w:b/>
        </w:rPr>
      </w:pPr>
      <w:r>
        <w:rPr>
          <w:rFonts w:cs="Arial" w:ascii="Arial" w:hAnsi="Arial"/>
          <w:b/>
        </w:rPr>
        <w:t>CLÁUSULA DÉCIMA TERCEIRA – DA FISCALIZAÇÃO</w:t>
      </w:r>
    </w:p>
    <w:p>
      <w:pPr>
        <w:pStyle w:val="Normal"/>
        <w:spacing w:lineRule="auto" w:line="360" w:before="0" w:after="200"/>
        <w:jc w:val="both"/>
        <w:rPr>
          <w:rFonts w:ascii="Arial" w:hAnsi="Arial" w:cs="Arial"/>
        </w:rPr>
      </w:pPr>
      <w:r>
        <w:rPr>
          <w:rFonts w:cs="Arial" w:ascii="Arial" w:hAnsi="Arial"/>
        </w:rPr>
        <w:t>Fica nomeado como fiscal do presente Contrato o Servidor CARLOS ANTONIO DE OLIVEIRA, ocupante do Cargo Efetivo de Técnico em Contabilidade, nesta Câmara Municipal.</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pPr>
      <w:r>
        <w:rPr>
          <w:rFonts w:cs="Arial" w:ascii="Arial" w:hAnsi="Arial"/>
          <w:b/>
        </w:rPr>
        <w:t>CLÁUSULA DÉCIMA QUARTA – DO FUNDAMENTO LEGAL</w:t>
      </w:r>
    </w:p>
    <w:p>
      <w:pPr>
        <w:pStyle w:val="Normal"/>
        <w:spacing w:lineRule="auto" w:line="360" w:before="0" w:after="200"/>
        <w:jc w:val="both"/>
        <w:rPr/>
      </w:pPr>
      <w:r>
        <w:rPr>
          <w:rFonts w:cs="Arial" w:ascii="Arial" w:hAnsi="Arial"/>
        </w:rPr>
        <w:t>O presente Contrato é celebrado com fulcro nas normas insertas na Lei 8.666/93 e suas alterações, tendo por base as condições estabelecidas no Processo 04/2022, e os termos da proposta apresentada pela Contratada.</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pPr>
      <w:r>
        <w:rPr>
          <w:rFonts w:cs="Arial" w:ascii="Arial" w:hAnsi="Arial"/>
          <w:b/>
        </w:rPr>
        <w:t>CLÁUSULA DÉCIMA QUINTA – DO FORO</w:t>
      </w:r>
    </w:p>
    <w:p>
      <w:pPr>
        <w:pStyle w:val="Normal"/>
        <w:spacing w:lineRule="auto" w:line="360" w:before="0" w:after="200"/>
        <w:jc w:val="both"/>
        <w:rPr/>
      </w:pPr>
      <w:r>
        <w:rPr>
          <w:rFonts w:cs="Arial" w:ascii="Arial" w:hAnsi="Arial"/>
        </w:rPr>
        <w:t>Fica eleito o foro da Comarca de Água Doce do Norte/ES, para dirimir qualquer dúvida oriunda da execução deste contrato.</w:t>
      </w:r>
    </w:p>
    <w:p>
      <w:pPr>
        <w:pStyle w:val="Normal"/>
        <w:spacing w:lineRule="auto" w:line="360" w:before="0" w:after="200"/>
        <w:jc w:val="both"/>
        <w:rPr>
          <w:rFonts w:ascii="Arial" w:hAnsi="Arial" w:cs="Arial"/>
        </w:rPr>
      </w:pPr>
      <w:r>
        <w:rPr>
          <w:rFonts w:cs="Arial" w:ascii="Arial" w:hAnsi="Arial"/>
        </w:rPr>
        <w:t>E, por estarem justas e contratadas, assinam as partes o presente instrumento, em 03 (três) vias de igual teor e forma, para que produza seus jurídicos e legais efeitos.</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center"/>
        <w:rPr>
          <w:rFonts w:ascii="Arial" w:hAnsi="Arial" w:cs="Arial"/>
        </w:rPr>
      </w:pPr>
      <w:r>
        <w:rPr>
          <w:rFonts w:cs="Arial" w:ascii="Arial" w:hAnsi="Arial"/>
        </w:rPr>
        <w:t>Água Doce do Norte/ES, aos 01 de maio de 2022.</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center"/>
        <w:rPr>
          <w:rFonts w:ascii="Arial" w:hAnsi="Arial" w:cs="Arial"/>
        </w:rPr>
      </w:pPr>
      <w:r>
        <w:rPr>
          <w:rFonts w:cs="Arial" w:ascii="Arial" w:hAnsi="Arial"/>
        </w:rPr>
        <w:softHyphen/>
        <w:softHyphen/>
        <w:softHyphen/>
        <w:softHyphen/>
        <w:softHyphen/>
        <w:softHyphen/>
        <w:softHyphen/>
        <w:softHyphen/>
        <w:softHyphen/>
        <w:softHyphen/>
        <w:softHyphen/>
        <w:softHyphen/>
        <w:softHyphen/>
        <w:softHyphen/>
        <w:softHyphen/>
        <w:softHyphen/>
        <w:t>______________________________________________________</w:t>
      </w:r>
    </w:p>
    <w:p>
      <w:pPr>
        <w:pStyle w:val="Normal"/>
        <w:spacing w:lineRule="auto" w:line="360" w:before="0" w:after="200"/>
        <w:jc w:val="center"/>
        <w:rPr>
          <w:rFonts w:ascii="Arial" w:hAnsi="Arial" w:cs="Arial"/>
          <w:b/>
          <w:b/>
        </w:rPr>
      </w:pPr>
      <w:r>
        <w:rPr>
          <w:rFonts w:cs="Arial" w:ascii="Arial" w:hAnsi="Arial"/>
          <w:b/>
        </w:rPr>
        <w:t>CÂMARA MUNICIPAL DE ÁGUA DOCE DO NORTE - CONTRATANTE</w:t>
      </w:r>
    </w:p>
    <w:p>
      <w:pPr>
        <w:pStyle w:val="Normal"/>
        <w:spacing w:lineRule="auto" w:line="360" w:before="0" w:after="200"/>
        <w:jc w:val="center"/>
        <w:rPr>
          <w:rFonts w:ascii="Arial" w:hAnsi="Arial" w:cs="Arial"/>
        </w:rPr>
      </w:pPr>
      <w:r>
        <w:rPr>
          <w:rFonts w:cs="Arial" w:ascii="Arial" w:hAnsi="Arial"/>
        </w:rPr>
        <w:t>HÉLIO PEREIRA – Presidente</w:t>
      </w:r>
    </w:p>
    <w:p>
      <w:pPr>
        <w:pStyle w:val="Normal"/>
        <w:spacing w:lineRule="auto" w:line="360" w:before="0" w:after="200"/>
        <w:jc w:val="center"/>
        <w:rPr>
          <w:rFonts w:ascii="Arial" w:hAnsi="Arial" w:cs="Arial"/>
        </w:rPr>
      </w:pPr>
      <w:r>
        <w:rPr>
          <w:rFonts w:cs="Arial" w:ascii="Arial" w:hAnsi="Arial"/>
        </w:rPr>
      </w:r>
    </w:p>
    <w:p>
      <w:pPr>
        <w:pStyle w:val="Normal"/>
        <w:spacing w:lineRule="auto" w:line="360" w:before="0" w:after="200"/>
        <w:jc w:val="center"/>
        <w:rPr>
          <w:rFonts w:ascii="Arial" w:hAnsi="Arial" w:cs="Arial"/>
        </w:rPr>
      </w:pPr>
      <w:r>
        <w:rPr>
          <w:rFonts w:cs="Arial" w:ascii="Arial" w:hAnsi="Arial"/>
        </w:rPr>
        <w:t>_____________________________________________________</w:t>
      </w:r>
    </w:p>
    <w:p>
      <w:pPr>
        <w:pStyle w:val="Normal"/>
        <w:spacing w:lineRule="auto" w:line="360" w:before="0" w:after="200"/>
        <w:jc w:val="center"/>
        <w:rPr>
          <w:rFonts w:ascii="Arial" w:hAnsi="Arial" w:cs="Arial"/>
          <w:b/>
          <w:b/>
        </w:rPr>
      </w:pPr>
      <w:r>
        <w:rPr>
          <w:rFonts w:cs="Arial" w:ascii="Arial" w:hAnsi="Arial"/>
          <w:b/>
        </w:rPr>
        <w:t>CONTRATADA</w:t>
      </w:r>
    </w:p>
    <w:p>
      <w:pPr>
        <w:pStyle w:val="Normal"/>
        <w:spacing w:lineRule="auto" w:line="360"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b/>
          <w:b/>
        </w:rPr>
      </w:pPr>
      <w:r>
        <w:rPr>
          <w:rFonts w:cs="Arial" w:ascii="Arial" w:hAnsi="Arial"/>
          <w:b/>
        </w:rPr>
        <w:t>TESTEMUNHAS</w:t>
      </w:r>
    </w:p>
    <w:p>
      <w:pPr>
        <w:pStyle w:val="Normal"/>
        <w:spacing w:lineRule="auto" w:line="360" w:before="0" w:after="200"/>
        <w:jc w:val="both"/>
        <w:rPr>
          <w:rFonts w:ascii="Arial" w:hAnsi="Arial" w:cs="Arial"/>
          <w:b/>
          <w:b/>
        </w:rPr>
      </w:pPr>
      <w:r>
        <w:rPr>
          <w:rFonts w:cs="Arial" w:ascii="Arial" w:hAnsi="Arial"/>
          <w:b/>
        </w:rPr>
      </w:r>
    </w:p>
    <w:p>
      <w:pPr>
        <w:pStyle w:val="Normal"/>
        <w:spacing w:lineRule="auto" w:line="360" w:before="0" w:after="200"/>
        <w:jc w:val="both"/>
        <w:rPr>
          <w:rFonts w:ascii="Arial" w:hAnsi="Arial" w:cs="Arial"/>
        </w:rPr>
      </w:pPr>
      <w:r>
        <w:rPr>
          <w:rFonts w:cs="Arial" w:ascii="Arial" w:hAnsi="Arial"/>
        </w:rPr>
        <w:t>__________________________________________________</w:t>
      </w:r>
    </w:p>
    <w:p>
      <w:pPr>
        <w:pStyle w:val="Normal"/>
        <w:spacing w:lineRule="auto" w:line="360" w:before="0" w:after="200"/>
        <w:jc w:val="both"/>
        <w:rPr>
          <w:rFonts w:ascii="Arial" w:hAnsi="Arial" w:cs="Arial"/>
        </w:rPr>
      </w:pPr>
      <w:r>
        <w:rPr>
          <w:rFonts w:cs="Arial" w:ascii="Arial" w:hAnsi="Arial"/>
        </w:rPr>
        <w:t>Nome:</w:t>
      </w:r>
    </w:p>
    <w:p>
      <w:pPr>
        <w:pStyle w:val="Normal"/>
        <w:spacing w:lineRule="auto" w:line="360" w:before="0" w:after="200"/>
        <w:jc w:val="both"/>
        <w:rPr>
          <w:rFonts w:ascii="Arial" w:hAnsi="Arial" w:cs="Arial"/>
        </w:rPr>
      </w:pPr>
      <w:r>
        <w:rPr>
          <w:rFonts w:cs="Arial" w:ascii="Arial" w:hAnsi="Arial"/>
        </w:rPr>
        <w:t>CPF:</w:t>
      </w:r>
    </w:p>
    <w:p>
      <w:pPr>
        <w:pStyle w:val="Normal"/>
        <w:spacing w:lineRule="auto" w:line="360" w:before="0" w:after="200"/>
        <w:jc w:val="both"/>
        <w:rPr>
          <w:rFonts w:ascii="Arial" w:hAnsi="Arial" w:cs="Arial"/>
        </w:rPr>
      </w:pPr>
      <w:r>
        <w:rPr>
          <w:rFonts w:cs="Arial" w:ascii="Arial" w:hAnsi="Arial"/>
        </w:rPr>
      </w:r>
    </w:p>
    <w:p>
      <w:pPr>
        <w:pStyle w:val="Normal"/>
        <w:spacing w:lineRule="auto" w:line="360" w:before="0" w:after="200"/>
        <w:jc w:val="both"/>
        <w:rPr>
          <w:rFonts w:ascii="Arial" w:hAnsi="Arial" w:cs="Arial"/>
        </w:rPr>
      </w:pPr>
      <w:r>
        <w:rPr>
          <w:rFonts w:cs="Arial" w:ascii="Arial" w:hAnsi="Arial"/>
        </w:rPr>
        <w:t>__________________________________________________</w:t>
      </w:r>
    </w:p>
    <w:p>
      <w:pPr>
        <w:pStyle w:val="Normal"/>
        <w:spacing w:lineRule="auto" w:line="360" w:before="0" w:after="200"/>
        <w:jc w:val="both"/>
        <w:rPr>
          <w:rFonts w:ascii="Arial" w:hAnsi="Arial" w:cs="Arial"/>
        </w:rPr>
      </w:pPr>
      <w:r>
        <w:rPr>
          <w:rFonts w:cs="Arial" w:ascii="Arial" w:hAnsi="Arial"/>
        </w:rPr>
        <w:t>Nome:</w:t>
      </w:r>
    </w:p>
    <w:p>
      <w:pPr>
        <w:pStyle w:val="Normal"/>
        <w:spacing w:lineRule="auto" w:line="360" w:before="0" w:after="200"/>
        <w:jc w:val="both"/>
        <w:rPr>
          <w:rFonts w:ascii="Arial" w:hAnsi="Arial" w:cs="Arial"/>
        </w:rPr>
      </w:pPr>
      <w:r>
        <w:rPr>
          <w:rFonts w:cs="Arial" w:ascii="Arial" w:hAnsi="Arial"/>
        </w:rPr>
        <w:t>CPF:</w:t>
      </w:r>
    </w:p>
    <w:p>
      <w:pPr>
        <w:pStyle w:val="Normal"/>
        <w:rPr>
          <w:rFonts w:ascii="Arial" w:hAnsi="Arial" w:cs="Arial"/>
        </w:rPr>
      </w:pPr>
      <w:r>
        <w:rPr>
          <w:rFonts w:cs="Arial" w:ascii="Arial" w:hAnsi="Arial"/>
        </w:rPr>
      </w:r>
    </w:p>
    <w:sectPr>
      <w:headerReference w:type="default" r:id="rId3"/>
      <w:footerReference w:type="default" r:id="rId4"/>
      <w:type w:val="nextPage"/>
      <w:pgSz w:w="12240" w:h="15840"/>
      <w:pgMar w:left="1701" w:right="1701" w:gutter="0" w:header="567" w:top="1701" w:footer="567" w:bottom="170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ahoma">
    <w:charset w:val="00" w:characterSet="windows-1252"/>
    <w:family w:val="swiss"/>
    <w:pitch w:val="variable"/>
  </w:font>
  <w:font w:name="Liberation Sans">
    <w:altName w:val="Arial"/>
    <w:charset w:val="01" w:characterSet="utf-8"/>
    <w:family w:val="swiss"/>
    <w:pitch w:val="variable"/>
  </w:font>
  <w:font w:name="Verdana">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bottom w:val="single" w:sz="12" w:space="1" w:color="000000"/>
      </w:pBdr>
      <w:spacing w:lineRule="auto" w:line="360"/>
      <w:rPr/>
    </w:pPr>
    <w:r>
      <w:rPr/>
    </w:r>
  </w:p>
  <w:p>
    <w:pPr>
      <w:pStyle w:val="Normal"/>
      <w:spacing w:lineRule="auto" w:line="360"/>
      <w:jc w:val="center"/>
      <w:rPr>
        <w:rFonts w:ascii="Arial" w:hAnsi="Arial" w:cs="Arial"/>
        <w:sz w:val="22"/>
      </w:rPr>
    </w:pPr>
    <w:r>
      <w:rPr>
        <w:rFonts w:cs="Arial" w:ascii="Arial" w:hAnsi="Arial"/>
        <w:sz w:val="22"/>
      </w:rPr>
      <w:t>Endereço: Rua Alacy Costa, nº 596, Centro, Água Doce do Norte/ES, CEP 29.820-000. Telefone: (27) 3759-1266. E-mail: camara@aguadocedonorte.es.leg.br.</w:t>
    </w:r>
  </w:p>
  <w:p>
    <w:pPr>
      <w:pStyle w:val="Footer"/>
      <w:jc w:val="both"/>
      <w:rPr>
        <w:rFonts w:ascii="Arial" w:hAnsi="Arial" w:cs="Arial"/>
        <w:sz w:val="22"/>
      </w:rPr>
    </w:pPr>
    <w:r>
      <w:rPr>
        <w:rFonts w:cs="Arial" w:ascii="Arial" w:hAnsi="Arial"/>
        <w:sz w:val="22"/>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rFonts w:ascii="Verdana" w:hAnsi="Verdana" w:cs="Verdana"/>
        <w:b/>
        <w:b/>
        <w:i/>
        <w:i/>
        <w:sz w:val="32"/>
        <w:lang w:val="en-US" w:eastAsia="en-US"/>
      </w:rPr>
    </w:pPr>
    <w:r>
      <w:rPr>
        <w:rFonts w:cs="Verdana" w:ascii="Verdana" w:hAnsi="Verdana"/>
        <w:b/>
        <w:i/>
        <w:sz w:val="32"/>
        <w:lang w:val="en-US" w:eastAsia="en-US"/>
      </w:rPr>
      <w:drawing>
        <wp:anchor behindDoc="1" distT="0" distB="0" distL="114935" distR="114935" simplePos="0" locked="0" layoutInCell="0" allowOverlap="1" relativeHeight="14">
          <wp:simplePos x="0" y="0"/>
          <wp:positionH relativeFrom="column">
            <wp:posOffset>2434590</wp:posOffset>
          </wp:positionH>
          <wp:positionV relativeFrom="paragraph">
            <wp:posOffset>-183515</wp:posOffset>
          </wp:positionV>
          <wp:extent cx="742950" cy="562610"/>
          <wp:effectExtent l="0" t="0" r="0" b="0"/>
          <wp:wrapNone/>
          <wp:docPr id="1" name="Imagem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title=""/>
                  <pic:cNvPicPr>
                    <a:picLocks noChangeAspect="1" noChangeArrowheads="1"/>
                  </pic:cNvPicPr>
                </pic:nvPicPr>
                <pic:blipFill>
                  <a:blip r:embed="rId1"/>
                  <a:srcRect l="-21" t="-27" r="-21" b="-27"/>
                  <a:stretch>
                    <a:fillRect/>
                  </a:stretch>
                </pic:blipFill>
                <pic:spPr bwMode="auto">
                  <a:xfrm>
                    <a:off x="0" y="0"/>
                    <a:ext cx="742950" cy="562610"/>
                  </a:xfrm>
                  <a:prstGeom prst="rect">
                    <a:avLst/>
                  </a:prstGeom>
                </pic:spPr>
              </pic:pic>
            </a:graphicData>
          </a:graphic>
        </wp:anchor>
      </w:drawing>
    </w:r>
  </w:p>
  <w:p>
    <w:pPr>
      <w:pStyle w:val="Header"/>
      <w:spacing w:lineRule="auto" w:line="360"/>
      <w:jc w:val="center"/>
      <w:rPr>
        <w:rFonts w:ascii="Arial" w:hAnsi="Arial" w:cs="Arial"/>
        <w:b/>
        <w:b/>
        <w:i/>
        <w:i/>
        <w:sz w:val="32"/>
      </w:rPr>
    </w:pPr>
    <w:r>
      <w:rPr>
        <w:rFonts w:cs="Arial" w:ascii="Arial" w:hAnsi="Arial"/>
        <w:b/>
        <w:i/>
        <w:sz w:val="32"/>
      </w:rPr>
    </w:r>
  </w:p>
  <w:p>
    <w:pPr>
      <w:pStyle w:val="Header"/>
      <w:pBdr>
        <w:bottom w:val="single" w:sz="12" w:space="1" w:color="000000"/>
      </w:pBdr>
      <w:spacing w:lineRule="auto" w:line="360"/>
      <w:jc w:val="center"/>
      <w:rPr>
        <w:rFonts w:ascii="Arial" w:hAnsi="Arial" w:cs="Arial"/>
        <w:b/>
        <w:b/>
      </w:rPr>
    </w:pPr>
    <w:r>
      <w:rPr>
        <w:rFonts w:cs="Arial" w:ascii="Arial" w:hAnsi="Arial"/>
        <w:b/>
      </w:rPr>
      <w:t>CÂMARA MUNICIPAL DE ÁGUA DOCE DO NORTE/ES</w:t>
    </w:r>
  </w:p>
  <w:p>
    <w:pPr>
      <w:pStyle w:val="Header"/>
      <w:spacing w:lineRule="auto" w:line="360"/>
      <w:jc w:val="center"/>
      <w:rPr>
        <w:rFonts w:ascii="Arial" w:hAnsi="Arial" w:cs="Arial"/>
        <w:b/>
        <w:b/>
        <w:sz w:val="22"/>
      </w:rPr>
    </w:pPr>
    <w:r>
      <w:rPr>
        <w:rFonts w:cs="Arial" w:ascii="Arial" w:hAnsi="Arial"/>
        <w:b/>
        <w:sz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3"/>
      <w:numFmt w:val="decimal"/>
      <w:lvlText w:val="%1."/>
      <w:lvlJc w:val="start"/>
      <w:pPr>
        <w:tabs>
          <w:tab w:val="num" w:pos="0"/>
        </w:tabs>
        <w:ind w:start="390" w:hanging="390"/>
      </w:pPr>
      <w:rPr/>
    </w:lvl>
    <w:lvl w:ilvl="1">
      <w:start w:val="1"/>
      <w:numFmt w:val="decimal"/>
      <w:lvlText w:val="%1.%2."/>
      <w:lvlJc w:val="start"/>
      <w:pPr>
        <w:tabs>
          <w:tab w:val="num" w:pos="0"/>
        </w:tabs>
        <w:ind w:start="720" w:hanging="720"/>
      </w:pPr>
      <w:rPr>
        <w:b/>
      </w:rPr>
    </w:lvl>
    <w:lvl w:ilvl="2">
      <w:start w:val="1"/>
      <w:numFmt w:val="decimal"/>
      <w:lvlText w:val="%1.%2.%3."/>
      <w:lvlJc w:val="start"/>
      <w:pPr>
        <w:tabs>
          <w:tab w:val="num" w:pos="0"/>
        </w:tabs>
        <w:ind w:start="720" w:hanging="720"/>
      </w:pPr>
      <w:rPr/>
    </w:lvl>
    <w:lvl w:ilvl="3">
      <w:start w:val="1"/>
      <w:numFmt w:val="decimal"/>
      <w:lvlText w:val="%1.%2.%3.%4."/>
      <w:lvlJc w:val="start"/>
      <w:pPr>
        <w:tabs>
          <w:tab w:val="num" w:pos="0"/>
        </w:tabs>
        <w:ind w:start="1080" w:hanging="1080"/>
      </w:pPr>
      <w:rPr/>
    </w:lvl>
    <w:lvl w:ilvl="4">
      <w:start w:val="1"/>
      <w:numFmt w:val="decimalZero"/>
      <w:lvlText w:val="%1.%2.%3.%4.%5."/>
      <w:lvlJc w:val="start"/>
      <w:pPr>
        <w:tabs>
          <w:tab w:val="num" w:pos="0"/>
        </w:tabs>
        <w:ind w:start="1080" w:hanging="1080"/>
      </w:pPr>
      <w:rPr/>
    </w:lvl>
    <w:lvl w:ilvl="5">
      <w:start w:val="1"/>
      <w:numFmt w:val="decimal"/>
      <w:lvlText w:val="%1.%2.%3.%4.%5.%6."/>
      <w:lvlJc w:val="start"/>
      <w:pPr>
        <w:tabs>
          <w:tab w:val="num" w:pos="0"/>
        </w:tabs>
        <w:ind w:start="1440" w:hanging="1440"/>
      </w:pPr>
      <w:rPr/>
    </w:lvl>
    <w:lvl w:ilvl="6">
      <w:start w:val="1"/>
      <w:numFmt w:val="decimal"/>
      <w:lvlText w:val="%1.%2.%3.%4.%5.%6.%7."/>
      <w:lvlJc w:val="start"/>
      <w:pPr>
        <w:tabs>
          <w:tab w:val="num" w:pos="0"/>
        </w:tabs>
        <w:ind w:start="1440" w:hanging="1440"/>
      </w:pPr>
      <w:rPr/>
    </w:lvl>
    <w:lvl w:ilvl="7">
      <w:start w:val="1"/>
      <w:numFmt w:val="decimal"/>
      <w:lvlText w:val="%1.%2.%3.%4.%5.%6.%7.%8."/>
      <w:lvlJc w:val="start"/>
      <w:pPr>
        <w:tabs>
          <w:tab w:val="num" w:pos="0"/>
        </w:tabs>
        <w:ind w:start="1800" w:hanging="1800"/>
      </w:pPr>
      <w:rPr/>
    </w:lvl>
    <w:lvl w:ilvl="8">
      <w:start w:val="1"/>
      <w:numFmt w:val="decimal"/>
      <w:lvlText w:val="%1.%2.%3.%4.%5.%6.%7.%8.%9."/>
      <w:lvlJc w:val="start"/>
      <w:pPr>
        <w:tabs>
          <w:tab w:val="num" w:pos="0"/>
        </w:tabs>
        <w:ind w:start="2160" w:hanging="2160"/>
      </w:pPr>
      <w:rPr/>
    </w:lvl>
  </w:abstractNum>
  <w:abstractNum w:abstractNumId="3">
    <w:lvl w:ilvl="0">
      <w:start w:val="9"/>
      <w:numFmt w:val="decimal"/>
      <w:lvlText w:val="%1."/>
      <w:lvlJc w:val="start"/>
      <w:pPr>
        <w:tabs>
          <w:tab w:val="num" w:pos="0"/>
        </w:tabs>
        <w:ind w:start="390" w:hanging="390"/>
      </w:pPr>
      <w:rPr/>
    </w:lvl>
    <w:lvl w:ilvl="1">
      <w:start w:val="1"/>
      <w:numFmt w:val="decimal"/>
      <w:lvlText w:val="%1.%2."/>
      <w:lvlJc w:val="start"/>
      <w:pPr>
        <w:tabs>
          <w:tab w:val="num" w:pos="0"/>
        </w:tabs>
        <w:ind w:start="1440" w:hanging="720"/>
      </w:pPr>
      <w:rPr>
        <w:b/>
        <w:rFonts w:cs="Arial"/>
      </w:rPr>
    </w:lvl>
    <w:lvl w:ilvl="2">
      <w:start w:val="1"/>
      <w:numFmt w:val="decimal"/>
      <w:lvlText w:val="%1.%2.%3."/>
      <w:lvlJc w:val="start"/>
      <w:pPr>
        <w:tabs>
          <w:tab w:val="num" w:pos="0"/>
        </w:tabs>
        <w:ind w:start="2160" w:hanging="720"/>
      </w:pPr>
      <w:rPr/>
    </w:lvl>
    <w:lvl w:ilvl="3">
      <w:start w:val="1"/>
      <w:numFmt w:val="decimal"/>
      <w:lvlText w:val="%1.%2.%3.%4."/>
      <w:lvlJc w:val="start"/>
      <w:pPr>
        <w:tabs>
          <w:tab w:val="num" w:pos="0"/>
        </w:tabs>
        <w:ind w:start="3240" w:hanging="1080"/>
      </w:pPr>
      <w:rPr/>
    </w:lvl>
    <w:lvl w:ilvl="4">
      <w:start w:val="1"/>
      <w:numFmt w:val="decimalZero"/>
      <w:lvlText w:val="%1.%2.%3.%4.%5."/>
      <w:lvlJc w:val="start"/>
      <w:pPr>
        <w:tabs>
          <w:tab w:val="num" w:pos="0"/>
        </w:tabs>
        <w:ind w:start="3960" w:hanging="1080"/>
      </w:pPr>
      <w:rPr/>
    </w:lvl>
    <w:lvl w:ilvl="5">
      <w:start w:val="1"/>
      <w:numFmt w:val="decimal"/>
      <w:lvlText w:val="%1.%2.%3.%4.%5.%6."/>
      <w:lvlJc w:val="start"/>
      <w:pPr>
        <w:tabs>
          <w:tab w:val="num" w:pos="0"/>
        </w:tabs>
        <w:ind w:start="5040" w:hanging="1440"/>
      </w:pPr>
      <w:rPr/>
    </w:lvl>
    <w:lvl w:ilvl="6">
      <w:start w:val="1"/>
      <w:numFmt w:val="decimal"/>
      <w:lvlText w:val="%1.%2.%3.%4.%5.%6.%7."/>
      <w:lvlJc w:val="start"/>
      <w:pPr>
        <w:tabs>
          <w:tab w:val="num" w:pos="0"/>
        </w:tabs>
        <w:ind w:start="5760" w:hanging="1440"/>
      </w:pPr>
      <w:rPr/>
    </w:lvl>
    <w:lvl w:ilvl="7">
      <w:start w:val="1"/>
      <w:numFmt w:val="decimal"/>
      <w:lvlText w:val="%1.%2.%3.%4.%5.%6.%7.%8."/>
      <w:lvlJc w:val="start"/>
      <w:pPr>
        <w:tabs>
          <w:tab w:val="num" w:pos="0"/>
        </w:tabs>
        <w:ind w:start="6840" w:hanging="1800"/>
      </w:pPr>
      <w:rPr/>
    </w:lvl>
    <w:lvl w:ilvl="8">
      <w:start w:val="1"/>
      <w:numFmt w:val="decimal"/>
      <w:lvlText w:val="%1.%2.%3.%4.%5.%6.%7.%8.%9."/>
      <w:lvlJc w:val="start"/>
      <w:pPr>
        <w:tabs>
          <w:tab w:val="num" w:pos="0"/>
        </w:tabs>
        <w:ind w:start="7920" w:hanging="2160"/>
      </w:pPr>
      <w:rPr/>
    </w:lvl>
  </w:abstractNum>
  <w:abstractNum w:abstractNumId="4">
    <w:lvl w:ilvl="0">
      <w:start w:val="8"/>
      <w:numFmt w:val="decimal"/>
      <w:lvlText w:val="%1."/>
      <w:lvlJc w:val="start"/>
      <w:pPr>
        <w:tabs>
          <w:tab w:val="num" w:pos="0"/>
        </w:tabs>
        <w:ind w:start="390" w:hanging="390"/>
      </w:pPr>
      <w:rPr/>
    </w:lvl>
    <w:lvl w:ilvl="1">
      <w:start w:val="1"/>
      <w:numFmt w:val="decimal"/>
      <w:lvlText w:val="%1.%2."/>
      <w:lvlJc w:val="start"/>
      <w:pPr>
        <w:tabs>
          <w:tab w:val="num" w:pos="0"/>
        </w:tabs>
        <w:ind w:start="1110" w:hanging="720"/>
      </w:pPr>
      <w:rPr>
        <w:b/>
        <w:rFonts w:ascii="Arial" w:hAnsi="Arial" w:cs="Arial"/>
      </w:rPr>
    </w:lvl>
    <w:lvl w:ilvl="2">
      <w:start w:val="1"/>
      <w:numFmt w:val="decimal"/>
      <w:lvlText w:val="%1.%2.%3."/>
      <w:lvlJc w:val="start"/>
      <w:pPr>
        <w:tabs>
          <w:tab w:val="num" w:pos="0"/>
        </w:tabs>
        <w:ind w:start="1500" w:hanging="720"/>
      </w:pPr>
      <w:rPr/>
    </w:lvl>
    <w:lvl w:ilvl="3">
      <w:start w:val="1"/>
      <w:numFmt w:val="decimal"/>
      <w:lvlText w:val="%1.%2.%3.%4."/>
      <w:lvlJc w:val="start"/>
      <w:pPr>
        <w:tabs>
          <w:tab w:val="num" w:pos="0"/>
        </w:tabs>
        <w:ind w:start="2250" w:hanging="1080"/>
      </w:pPr>
      <w:rPr/>
    </w:lvl>
    <w:lvl w:ilvl="4">
      <w:start w:val="1"/>
      <w:numFmt w:val="decimalZero"/>
      <w:lvlText w:val="%1.%2.%3.%4.%5."/>
      <w:lvlJc w:val="start"/>
      <w:pPr>
        <w:tabs>
          <w:tab w:val="num" w:pos="0"/>
        </w:tabs>
        <w:ind w:start="2640" w:hanging="1080"/>
      </w:pPr>
      <w:rPr/>
    </w:lvl>
    <w:lvl w:ilvl="5">
      <w:start w:val="1"/>
      <w:numFmt w:val="decimal"/>
      <w:lvlText w:val="%1.%2.%3.%4.%5.%6."/>
      <w:lvlJc w:val="start"/>
      <w:pPr>
        <w:tabs>
          <w:tab w:val="num" w:pos="0"/>
        </w:tabs>
        <w:ind w:start="3390" w:hanging="1440"/>
      </w:pPr>
      <w:rPr/>
    </w:lvl>
    <w:lvl w:ilvl="6">
      <w:start w:val="1"/>
      <w:numFmt w:val="decimal"/>
      <w:lvlText w:val="%1.%2.%3.%4.%5.%6.%7."/>
      <w:lvlJc w:val="start"/>
      <w:pPr>
        <w:tabs>
          <w:tab w:val="num" w:pos="0"/>
        </w:tabs>
        <w:ind w:start="3780" w:hanging="1440"/>
      </w:pPr>
      <w:rPr/>
    </w:lvl>
    <w:lvl w:ilvl="7">
      <w:start w:val="1"/>
      <w:numFmt w:val="decimal"/>
      <w:lvlText w:val="%1.%2.%3.%4.%5.%6.%7.%8."/>
      <w:lvlJc w:val="start"/>
      <w:pPr>
        <w:tabs>
          <w:tab w:val="num" w:pos="0"/>
        </w:tabs>
        <w:ind w:start="4530" w:hanging="1800"/>
      </w:pPr>
      <w:rPr/>
    </w:lvl>
    <w:lvl w:ilvl="8">
      <w:start w:val="1"/>
      <w:numFmt w:val="decimal"/>
      <w:lvlText w:val="%1.%2.%3.%4.%5.%6.%7.%8.%9."/>
      <w:lvlJc w:val="start"/>
      <w:pPr>
        <w:tabs>
          <w:tab w:val="num" w:pos="0"/>
        </w:tabs>
        <w:ind w:start="5280" w:hanging="2160"/>
      </w:pPr>
      <w:rPr/>
    </w:lvl>
  </w:abstractNum>
  <w:abstractNum w:abstractNumId="5">
    <w:lvl w:ilvl="0">
      <w:start w:val="1"/>
      <w:numFmt w:val="upperLetter"/>
      <w:lvlText w:val="%1."/>
      <w:lvlJc w:val="start"/>
      <w:pPr>
        <w:tabs>
          <w:tab w:val="num" w:pos="0"/>
        </w:tabs>
        <w:ind w:start="720" w:hanging="360"/>
      </w:pPr>
      <w:rPr>
        <w:b/>
        <w:rFonts w:ascii="Arial" w:hAnsi="Arial" w:cs="Arial"/>
      </w:rPr>
    </w:lvl>
  </w:abstractNum>
  <w:abstractNum w:abstractNumId="6">
    <w:lvl w:ilvl="0">
      <w:start w:val="10"/>
      <w:numFmt w:val="decimal"/>
      <w:lvlText w:val="%1."/>
      <w:lvlJc w:val="start"/>
      <w:pPr>
        <w:tabs>
          <w:tab w:val="num" w:pos="0"/>
        </w:tabs>
        <w:ind w:start="525" w:hanging="525"/>
      </w:pPr>
      <w:rPr/>
    </w:lvl>
    <w:lvl w:ilvl="1">
      <w:start w:val="1"/>
      <w:numFmt w:val="decimal"/>
      <w:lvlText w:val="%1.%2."/>
      <w:lvlJc w:val="start"/>
      <w:pPr>
        <w:tabs>
          <w:tab w:val="num" w:pos="0"/>
        </w:tabs>
        <w:ind w:start="1110" w:hanging="720"/>
      </w:pPr>
      <w:rPr>
        <w:b/>
      </w:rPr>
    </w:lvl>
    <w:lvl w:ilvl="2">
      <w:start w:val="1"/>
      <w:numFmt w:val="decimal"/>
      <w:lvlText w:val="%1.%2.%3."/>
      <w:lvlJc w:val="start"/>
      <w:pPr>
        <w:tabs>
          <w:tab w:val="num" w:pos="0"/>
        </w:tabs>
        <w:ind w:start="1500" w:hanging="720"/>
      </w:pPr>
      <w:rPr/>
    </w:lvl>
    <w:lvl w:ilvl="3">
      <w:start w:val="1"/>
      <w:numFmt w:val="decimal"/>
      <w:lvlText w:val="%1.%2.%3.%4."/>
      <w:lvlJc w:val="start"/>
      <w:pPr>
        <w:tabs>
          <w:tab w:val="num" w:pos="0"/>
        </w:tabs>
        <w:ind w:start="2250" w:hanging="1080"/>
      </w:pPr>
      <w:rPr/>
    </w:lvl>
    <w:lvl w:ilvl="4">
      <w:start w:val="1"/>
      <w:numFmt w:val="decimalZero"/>
      <w:lvlText w:val="%1.%2.%3.%4.%5."/>
      <w:lvlJc w:val="start"/>
      <w:pPr>
        <w:tabs>
          <w:tab w:val="num" w:pos="0"/>
        </w:tabs>
        <w:ind w:start="2640" w:hanging="1080"/>
      </w:pPr>
      <w:rPr/>
    </w:lvl>
    <w:lvl w:ilvl="5">
      <w:start w:val="1"/>
      <w:numFmt w:val="decimal"/>
      <w:lvlText w:val="%1.%2.%3.%4.%5.%6."/>
      <w:lvlJc w:val="start"/>
      <w:pPr>
        <w:tabs>
          <w:tab w:val="num" w:pos="0"/>
        </w:tabs>
        <w:ind w:start="3390" w:hanging="1440"/>
      </w:pPr>
      <w:rPr/>
    </w:lvl>
    <w:lvl w:ilvl="6">
      <w:start w:val="1"/>
      <w:numFmt w:val="decimal"/>
      <w:lvlText w:val="%1.%2.%3.%4.%5.%6.%7."/>
      <w:lvlJc w:val="start"/>
      <w:pPr>
        <w:tabs>
          <w:tab w:val="num" w:pos="0"/>
        </w:tabs>
        <w:ind w:start="3780" w:hanging="1440"/>
      </w:pPr>
      <w:rPr/>
    </w:lvl>
    <w:lvl w:ilvl="7">
      <w:start w:val="1"/>
      <w:numFmt w:val="decimal"/>
      <w:lvlText w:val="%1.%2.%3.%4.%5.%6.%7.%8."/>
      <w:lvlJc w:val="start"/>
      <w:pPr>
        <w:tabs>
          <w:tab w:val="num" w:pos="0"/>
        </w:tabs>
        <w:ind w:start="4530" w:hanging="1800"/>
      </w:pPr>
      <w:rPr/>
    </w:lvl>
    <w:lvl w:ilvl="8">
      <w:start w:val="1"/>
      <w:numFmt w:val="decimal"/>
      <w:lvlText w:val="%1.%2.%3.%4.%5.%6.%7.%8.%9."/>
      <w:lvlJc w:val="start"/>
      <w:pPr>
        <w:tabs>
          <w:tab w:val="num" w:pos="0"/>
        </w:tabs>
        <w:ind w:start="5280" w:hanging="2160"/>
      </w:pPr>
      <w:rPr/>
    </w:lvl>
  </w:abstractNum>
  <w:abstractNum w:abstractNumId="7">
    <w:lvl w:ilvl="0">
      <w:start w:val="1"/>
      <w:numFmt w:val="upperLetter"/>
      <w:lvlText w:val="%1."/>
      <w:lvlJc w:val="start"/>
      <w:pPr>
        <w:tabs>
          <w:tab w:val="num" w:pos="0"/>
        </w:tabs>
        <w:ind w:start="720" w:hanging="360"/>
      </w:pPr>
      <w:rPr>
        <w:b/>
      </w:rPr>
    </w:lvl>
  </w:abstractNum>
  <w:abstractNum w:abstractNumId="8">
    <w:lvl w:ilvl="0">
      <w:start w:val="6"/>
      <w:numFmt w:val="decimal"/>
      <w:lvlText w:val="%1."/>
      <w:lvlJc w:val="start"/>
      <w:pPr>
        <w:tabs>
          <w:tab w:val="num" w:pos="0"/>
        </w:tabs>
        <w:ind w:start="390" w:hanging="390"/>
      </w:pPr>
      <w:rPr/>
    </w:lvl>
    <w:lvl w:ilvl="1">
      <w:start w:val="1"/>
      <w:numFmt w:val="decimal"/>
      <w:lvlText w:val="%1.%2."/>
      <w:lvlJc w:val="start"/>
      <w:pPr>
        <w:tabs>
          <w:tab w:val="num" w:pos="0"/>
        </w:tabs>
        <w:ind w:start="1110" w:hanging="720"/>
      </w:pPr>
      <w:rPr>
        <w:b/>
      </w:rPr>
    </w:lvl>
    <w:lvl w:ilvl="2">
      <w:start w:val="1"/>
      <w:numFmt w:val="decimal"/>
      <w:lvlText w:val="%1.%2.%3."/>
      <w:lvlJc w:val="start"/>
      <w:pPr>
        <w:tabs>
          <w:tab w:val="num" w:pos="0"/>
        </w:tabs>
        <w:ind w:start="1500" w:hanging="720"/>
      </w:pPr>
      <w:rPr>
        <w:b/>
      </w:rPr>
    </w:lvl>
    <w:lvl w:ilvl="3">
      <w:start w:val="1"/>
      <w:numFmt w:val="decimal"/>
      <w:lvlText w:val="%1.%2.%3.%4."/>
      <w:lvlJc w:val="start"/>
      <w:pPr>
        <w:tabs>
          <w:tab w:val="num" w:pos="0"/>
        </w:tabs>
        <w:ind w:start="2250" w:hanging="1080"/>
      </w:pPr>
      <w:rPr/>
    </w:lvl>
    <w:lvl w:ilvl="4">
      <w:start w:val="1"/>
      <w:numFmt w:val="decimalZero"/>
      <w:lvlText w:val="%1.%2.%3.%4.%5."/>
      <w:lvlJc w:val="start"/>
      <w:pPr>
        <w:tabs>
          <w:tab w:val="num" w:pos="0"/>
        </w:tabs>
        <w:ind w:start="2640" w:hanging="1080"/>
      </w:pPr>
      <w:rPr/>
    </w:lvl>
    <w:lvl w:ilvl="5">
      <w:start w:val="1"/>
      <w:numFmt w:val="decimal"/>
      <w:lvlText w:val="%1.%2.%3.%4.%5.%6."/>
      <w:lvlJc w:val="start"/>
      <w:pPr>
        <w:tabs>
          <w:tab w:val="num" w:pos="0"/>
        </w:tabs>
        <w:ind w:start="3390" w:hanging="1440"/>
      </w:pPr>
      <w:rPr/>
    </w:lvl>
    <w:lvl w:ilvl="6">
      <w:start w:val="1"/>
      <w:numFmt w:val="decimal"/>
      <w:lvlText w:val="%1.%2.%3.%4.%5.%6.%7."/>
      <w:lvlJc w:val="start"/>
      <w:pPr>
        <w:tabs>
          <w:tab w:val="num" w:pos="0"/>
        </w:tabs>
        <w:ind w:start="3780" w:hanging="1440"/>
      </w:pPr>
      <w:rPr/>
    </w:lvl>
    <w:lvl w:ilvl="7">
      <w:start w:val="1"/>
      <w:numFmt w:val="decimal"/>
      <w:lvlText w:val="%1.%2.%3.%4.%5.%6.%7.%8."/>
      <w:lvlJc w:val="start"/>
      <w:pPr>
        <w:tabs>
          <w:tab w:val="num" w:pos="0"/>
        </w:tabs>
        <w:ind w:start="4530" w:hanging="1800"/>
      </w:pPr>
      <w:rPr/>
    </w:lvl>
    <w:lvl w:ilvl="8">
      <w:start w:val="1"/>
      <w:numFmt w:val="decimal"/>
      <w:lvlText w:val="%1.%2.%3.%4.%5.%6.%7.%8.%9."/>
      <w:lvlJc w:val="start"/>
      <w:pPr>
        <w:tabs>
          <w:tab w:val="num" w:pos="0"/>
        </w:tabs>
        <w:ind w:start="5280" w:hanging="2160"/>
      </w:pPr>
      <w:rPr/>
    </w:lvl>
  </w:abstractNum>
  <w:abstractNum w:abstractNumId="9">
    <w:lvl w:ilvl="0">
      <w:start w:val="5"/>
      <w:numFmt w:val="decimal"/>
      <w:lvlText w:val="%1."/>
      <w:lvlJc w:val="start"/>
      <w:pPr>
        <w:tabs>
          <w:tab w:val="num" w:pos="0"/>
        </w:tabs>
        <w:ind w:start="390" w:hanging="390"/>
      </w:pPr>
      <w:rPr>
        <w:b w:val="false"/>
      </w:rPr>
    </w:lvl>
    <w:lvl w:ilvl="1">
      <w:start w:val="1"/>
      <w:numFmt w:val="decimal"/>
      <w:lvlText w:val="%1.%2."/>
      <w:lvlJc w:val="start"/>
      <w:pPr>
        <w:tabs>
          <w:tab w:val="num" w:pos="0"/>
        </w:tabs>
        <w:ind w:start="720" w:hanging="720"/>
      </w:pPr>
      <w:rPr>
        <w:b/>
      </w:rPr>
    </w:lvl>
    <w:lvl w:ilvl="2">
      <w:start w:val="1"/>
      <w:numFmt w:val="decimal"/>
      <w:lvlText w:val="%1.%2.%3."/>
      <w:lvlJc w:val="start"/>
      <w:pPr>
        <w:tabs>
          <w:tab w:val="num" w:pos="0"/>
        </w:tabs>
        <w:ind w:start="720" w:hanging="720"/>
      </w:pPr>
      <w:rPr>
        <w:b w:val="false"/>
      </w:rPr>
    </w:lvl>
    <w:lvl w:ilvl="3">
      <w:start w:val="1"/>
      <w:numFmt w:val="decimal"/>
      <w:lvlText w:val="%1.%2.%3.%4."/>
      <w:lvlJc w:val="start"/>
      <w:pPr>
        <w:tabs>
          <w:tab w:val="num" w:pos="0"/>
        </w:tabs>
        <w:ind w:start="1080" w:hanging="1080"/>
      </w:pPr>
      <w:rPr>
        <w:b w:val="false"/>
      </w:rPr>
    </w:lvl>
    <w:lvl w:ilvl="4">
      <w:start w:val="1"/>
      <w:numFmt w:val="decimalZero"/>
      <w:lvlText w:val="%1.%2.%3.%4.%5."/>
      <w:lvlJc w:val="start"/>
      <w:pPr>
        <w:tabs>
          <w:tab w:val="num" w:pos="0"/>
        </w:tabs>
        <w:ind w:start="1080" w:hanging="1080"/>
      </w:pPr>
      <w:rPr>
        <w:b w:val="false"/>
      </w:rPr>
    </w:lvl>
    <w:lvl w:ilvl="5">
      <w:start w:val="1"/>
      <w:numFmt w:val="decimal"/>
      <w:lvlText w:val="%1.%2.%3.%4.%5.%6."/>
      <w:lvlJc w:val="start"/>
      <w:pPr>
        <w:tabs>
          <w:tab w:val="num" w:pos="0"/>
        </w:tabs>
        <w:ind w:start="1440" w:hanging="1440"/>
      </w:pPr>
      <w:rPr>
        <w:b w:val="false"/>
      </w:rPr>
    </w:lvl>
    <w:lvl w:ilvl="6">
      <w:start w:val="1"/>
      <w:numFmt w:val="decimal"/>
      <w:lvlText w:val="%1.%2.%3.%4.%5.%6.%7."/>
      <w:lvlJc w:val="start"/>
      <w:pPr>
        <w:tabs>
          <w:tab w:val="num" w:pos="0"/>
        </w:tabs>
        <w:ind w:start="1440" w:hanging="1440"/>
      </w:pPr>
      <w:rPr>
        <w:b w:val="false"/>
      </w:rPr>
    </w:lvl>
    <w:lvl w:ilvl="7">
      <w:start w:val="1"/>
      <w:numFmt w:val="decimal"/>
      <w:lvlText w:val="%1.%2.%3.%4.%5.%6.%7.%8."/>
      <w:lvlJc w:val="start"/>
      <w:pPr>
        <w:tabs>
          <w:tab w:val="num" w:pos="0"/>
        </w:tabs>
        <w:ind w:start="1800" w:hanging="1800"/>
      </w:pPr>
      <w:rPr>
        <w:b w:val="false"/>
      </w:rPr>
    </w:lvl>
    <w:lvl w:ilvl="8">
      <w:start w:val="1"/>
      <w:numFmt w:val="decimal"/>
      <w:lvlText w:val="%1.%2.%3.%4.%5.%6.%7.%8.%9."/>
      <w:lvlJc w:val="start"/>
      <w:pPr>
        <w:tabs>
          <w:tab w:val="num" w:pos="0"/>
        </w:tabs>
        <w:ind w:start="2160" w:hanging="2160"/>
      </w:pPr>
      <w:rPr>
        <w:b w:val="false"/>
      </w:rPr>
    </w:lvl>
  </w:abstractNum>
  <w:abstractNum w:abstractNumId="10">
    <w:lvl w:ilvl="0">
      <w:start w:val="4"/>
      <w:numFmt w:val="decimal"/>
      <w:lvlText w:val="%1."/>
      <w:lvlJc w:val="start"/>
      <w:pPr>
        <w:tabs>
          <w:tab w:val="num" w:pos="0"/>
        </w:tabs>
        <w:ind w:start="390" w:hanging="390"/>
      </w:pPr>
      <w:rPr>
        <w:b w:val="false"/>
      </w:rPr>
    </w:lvl>
    <w:lvl w:ilvl="1">
      <w:start w:val="1"/>
      <w:numFmt w:val="decimal"/>
      <w:lvlText w:val="%1.%2."/>
      <w:lvlJc w:val="start"/>
      <w:pPr>
        <w:tabs>
          <w:tab w:val="num" w:pos="0"/>
        </w:tabs>
        <w:ind w:start="720" w:hanging="720"/>
      </w:pPr>
      <w:rPr>
        <w:b/>
      </w:rPr>
    </w:lvl>
    <w:lvl w:ilvl="2">
      <w:start w:val="1"/>
      <w:numFmt w:val="decimal"/>
      <w:lvlText w:val="%1.%2.%3."/>
      <w:lvlJc w:val="start"/>
      <w:pPr>
        <w:tabs>
          <w:tab w:val="num" w:pos="0"/>
        </w:tabs>
        <w:ind w:start="720" w:hanging="720"/>
      </w:pPr>
      <w:rPr>
        <w:b w:val="false"/>
      </w:rPr>
    </w:lvl>
    <w:lvl w:ilvl="3">
      <w:start w:val="1"/>
      <w:numFmt w:val="decimal"/>
      <w:lvlText w:val="%1.%2.%3.%4."/>
      <w:lvlJc w:val="start"/>
      <w:pPr>
        <w:tabs>
          <w:tab w:val="num" w:pos="0"/>
        </w:tabs>
        <w:ind w:start="1080" w:hanging="1080"/>
      </w:pPr>
      <w:rPr>
        <w:b w:val="false"/>
      </w:rPr>
    </w:lvl>
    <w:lvl w:ilvl="4">
      <w:start w:val="1"/>
      <w:numFmt w:val="decimalZero"/>
      <w:lvlText w:val="%1.%2.%3.%4.%5."/>
      <w:lvlJc w:val="start"/>
      <w:pPr>
        <w:tabs>
          <w:tab w:val="num" w:pos="0"/>
        </w:tabs>
        <w:ind w:start="1080" w:hanging="1080"/>
      </w:pPr>
      <w:rPr>
        <w:b w:val="false"/>
      </w:rPr>
    </w:lvl>
    <w:lvl w:ilvl="5">
      <w:start w:val="1"/>
      <w:numFmt w:val="decimal"/>
      <w:lvlText w:val="%1.%2.%3.%4.%5.%6."/>
      <w:lvlJc w:val="start"/>
      <w:pPr>
        <w:tabs>
          <w:tab w:val="num" w:pos="0"/>
        </w:tabs>
        <w:ind w:start="1440" w:hanging="1440"/>
      </w:pPr>
      <w:rPr>
        <w:b w:val="false"/>
      </w:rPr>
    </w:lvl>
    <w:lvl w:ilvl="6">
      <w:start w:val="1"/>
      <w:numFmt w:val="decimal"/>
      <w:lvlText w:val="%1.%2.%3.%4.%5.%6.%7."/>
      <w:lvlJc w:val="start"/>
      <w:pPr>
        <w:tabs>
          <w:tab w:val="num" w:pos="0"/>
        </w:tabs>
        <w:ind w:start="1440" w:hanging="1440"/>
      </w:pPr>
      <w:rPr>
        <w:b w:val="false"/>
      </w:rPr>
    </w:lvl>
    <w:lvl w:ilvl="7">
      <w:start w:val="1"/>
      <w:numFmt w:val="decimal"/>
      <w:lvlText w:val="%1.%2.%3.%4.%5.%6.%7.%8."/>
      <w:lvlJc w:val="start"/>
      <w:pPr>
        <w:tabs>
          <w:tab w:val="num" w:pos="0"/>
        </w:tabs>
        <w:ind w:start="1800" w:hanging="1800"/>
      </w:pPr>
      <w:rPr>
        <w:b w:val="false"/>
      </w:rPr>
    </w:lvl>
    <w:lvl w:ilvl="8">
      <w:start w:val="1"/>
      <w:numFmt w:val="decimal"/>
      <w:lvlText w:val="%1.%2.%3.%4.%5.%6.%7.%8.%9."/>
      <w:lvlJc w:val="start"/>
      <w:pPr>
        <w:tabs>
          <w:tab w:val="num" w:pos="0"/>
        </w:tabs>
        <w:ind w:start="2160" w:hanging="2160"/>
      </w:pPr>
      <w:rPr>
        <w:b w:val="fals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pt-BR" w:bidi="ar-SA" w:eastAsia="zh-CN"/>
    </w:rPr>
  </w:style>
  <w:style w:type="paragraph" w:styleId="Heading1">
    <w:name w:val="Heading 1"/>
    <w:basedOn w:val="Normal"/>
    <w:next w:val="Normal"/>
    <w:qFormat/>
    <w:pPr>
      <w:keepNext w:val="true"/>
      <w:numPr>
        <w:ilvl w:val="0"/>
        <w:numId w:val="1"/>
      </w:numPr>
      <w:jc w:val="center"/>
      <w:outlineLvl w:val="0"/>
    </w:pPr>
    <w:rPr>
      <w:rFonts w:ascii="Arial" w:hAnsi="Arial" w:cs="Arial"/>
      <w:b/>
      <w:bCs/>
    </w:rPr>
  </w:style>
  <w:style w:type="character" w:styleId="WW8Num1z0">
    <w:name w:val="WW8Num1z0"/>
    <w:qFormat/>
    <w:rPr/>
  </w:style>
  <w:style w:type="character" w:styleId="WW8Num1z1">
    <w:name w:val="WW8Num1z1"/>
    <w:qFormat/>
    <w:rPr>
      <w:b/>
    </w:rPr>
  </w:style>
  <w:style w:type="character" w:styleId="WW8Num2z0">
    <w:name w:val="WW8Num2z0"/>
    <w:qFormat/>
    <w:rPr>
      <w:b w:val="false"/>
    </w:rPr>
  </w:style>
  <w:style w:type="character" w:styleId="WW8Num2z1">
    <w:name w:val="WW8Num2z1"/>
    <w:qFormat/>
    <w:rPr>
      <w:b/>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rFonts w:ascii="Arial" w:hAnsi="Arial" w:eastAsia="Times New Roman" w:cs="Arial"/>
      <w:b/>
    </w:rPr>
  </w:style>
  <w:style w:type="character" w:styleId="WW8Num5z0">
    <w:name w:val="WW8Num5z0"/>
    <w:qFormat/>
    <w:rPr/>
  </w:style>
  <w:style w:type="character" w:styleId="WW8Num5z1">
    <w:name w:val="WW8Num5z1"/>
    <w:qFormat/>
    <w:rPr>
      <w:rFonts w:cs="Arial"/>
      <w:b/>
    </w:rPr>
  </w:style>
  <w:style w:type="character" w:styleId="WW8Num6z0">
    <w:name w:val="WW8Num6z0"/>
    <w:qFormat/>
    <w:rPr/>
  </w:style>
  <w:style w:type="character" w:styleId="WW8Num6z1">
    <w:name w:val="WW8Num6z1"/>
    <w:qFormat/>
    <w:rPr>
      <w:rFonts w:ascii="Arial" w:hAnsi="Arial" w:cs="Arial"/>
      <w:b/>
    </w:rPr>
  </w:style>
  <w:style w:type="character" w:styleId="WW8Num7z0">
    <w:name w:val="WW8Num7z0"/>
    <w:qFormat/>
    <w:rPr/>
  </w:style>
  <w:style w:type="character" w:styleId="WW8Num7z1">
    <w:name w:val="WW8Num7z1"/>
    <w:qFormat/>
    <w:rPr>
      <w:b w:val="false"/>
    </w:rPr>
  </w:style>
  <w:style w:type="character" w:styleId="WW8Num7z3">
    <w:name w:val="WW8Num7z3"/>
    <w:qFormat/>
    <w:rPr>
      <w:rFonts w:ascii="Arial" w:hAnsi="Arial" w:eastAsia="Times New Roman" w:cs="Arial"/>
    </w:rPr>
  </w:style>
  <w:style w:type="character" w:styleId="WW8Num8z0">
    <w:name w:val="WW8Num8z0"/>
    <w:qFormat/>
    <w:rPr>
      <w:b/>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Arial" w:hAnsi="Arial" w:cs="Arial"/>
      <w:b/>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b/>
    </w:rPr>
  </w:style>
  <w:style w:type="character" w:styleId="WW8Num11z0">
    <w:name w:val="WW8Num11z0"/>
    <w:qFormat/>
    <w:rPr/>
  </w:style>
  <w:style w:type="character" w:styleId="WW8Num11z1">
    <w:name w:val="WW8Num11z1"/>
    <w:qFormat/>
    <w:rPr>
      <w:b/>
    </w:rPr>
  </w:style>
  <w:style w:type="character" w:styleId="WW8Num12z0">
    <w:name w:val="WW8Num12z0"/>
    <w:qFormat/>
    <w:rPr>
      <w:b/>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b w:val="false"/>
    </w:rPr>
  </w:style>
  <w:style w:type="character" w:styleId="WW8Num13z1">
    <w:name w:val="WW8Num13z1"/>
    <w:qFormat/>
    <w:rPr>
      <w:rFonts w:ascii="Arial" w:hAnsi="Arial" w:eastAsia="Times New Roman" w:cs="Arial"/>
      <w:b/>
    </w:rPr>
  </w:style>
  <w:style w:type="character" w:styleId="WW8Num14z0">
    <w:name w:val="WW8Num14z0"/>
    <w:qFormat/>
    <w:rPr/>
  </w:style>
  <w:style w:type="character" w:styleId="WW8Num15z0">
    <w:name w:val="WW8Num15z0"/>
    <w:qFormat/>
    <w:rPr/>
  </w:style>
  <w:style w:type="character" w:styleId="WW8Num15z1">
    <w:name w:val="WW8Num15z1"/>
    <w:qFormat/>
    <w:rPr>
      <w:rFonts w:ascii="Arial" w:hAnsi="Arial" w:eastAsia="Arial" w:cs="Arial"/>
      <w:b/>
    </w:rPr>
  </w:style>
  <w:style w:type="character" w:styleId="WW8Num16z0">
    <w:name w:val="WW8Num16z0"/>
    <w:qFormat/>
    <w:rPr/>
  </w:style>
  <w:style w:type="character" w:styleId="WW8Num16z1">
    <w:name w:val="WW8Num16z1"/>
    <w:qFormat/>
    <w:rPr>
      <w:b/>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b w:val="false"/>
    </w:rPr>
  </w:style>
  <w:style w:type="character" w:styleId="WW8Num18z1">
    <w:name w:val="WW8Num18z1"/>
    <w:qFormat/>
    <w:rPr>
      <w:b/>
    </w:rPr>
  </w:style>
  <w:style w:type="character" w:styleId="WW8Num19z0">
    <w:name w:val="WW8Num19z0"/>
    <w:qFormat/>
    <w:rPr/>
  </w:style>
  <w:style w:type="character" w:styleId="WW8Num19z1">
    <w:name w:val="WW8Num19z1"/>
    <w:qFormat/>
    <w:rPr>
      <w:b/>
    </w:rPr>
  </w:style>
  <w:style w:type="character" w:styleId="WW8Num20z0">
    <w:name w:val="WW8Num20z0"/>
    <w:qFormat/>
    <w:rPr>
      <w:b/>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b/>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b w:val="false"/>
    </w:rPr>
  </w:style>
  <w:style w:type="character" w:styleId="WW8Num22z1">
    <w:name w:val="WW8Num22z1"/>
    <w:qFormat/>
    <w:rPr>
      <w:b/>
    </w:rPr>
  </w:style>
  <w:style w:type="character" w:styleId="Fontepargpadro">
    <w:name w:val="Fonte parág. padrão"/>
    <w:qFormat/>
    <w:rPr/>
  </w:style>
  <w:style w:type="character" w:styleId="CabealhoChar">
    <w:name w:val="Cabeçalho Char"/>
    <w:qFormat/>
    <w:rPr>
      <w:rFonts w:ascii="Times New Roman" w:hAnsi="Times New Roman" w:eastAsia="Times New Roman" w:cs="Times New Roman"/>
      <w:sz w:val="24"/>
      <w:szCs w:val="24"/>
    </w:rPr>
  </w:style>
  <w:style w:type="character" w:styleId="RodapChar">
    <w:name w:val="Rodapé Char"/>
    <w:qFormat/>
    <w:rPr>
      <w:rFonts w:ascii="Times New Roman" w:hAnsi="Times New Roman" w:eastAsia="Times New Roman" w:cs="Times New Roman"/>
      <w:sz w:val="24"/>
      <w:szCs w:val="24"/>
    </w:rPr>
  </w:style>
  <w:style w:type="character" w:styleId="InternetLink">
    <w:name w:val="Hyperlink"/>
    <w:rPr>
      <w:color w:val="0000FF"/>
      <w:u w:val="single"/>
    </w:rPr>
  </w:style>
  <w:style w:type="character" w:styleId="TextodebaloChar">
    <w:name w:val="Texto de balão Char"/>
    <w:qFormat/>
    <w:rPr>
      <w:rFonts w:ascii="Tahoma" w:hAnsi="Tahoma" w:eastAsia="Times New Roman" w:cs="Tahoma"/>
      <w:sz w:val="16"/>
      <w:szCs w:val="16"/>
    </w:rPr>
  </w:style>
  <w:style w:type="character" w:styleId="StrongEmphasis">
    <w:name w:val="Strong Emphasis"/>
    <w:qFormat/>
    <w:rPr>
      <w:b/>
      <w:bCs/>
    </w:rPr>
  </w:style>
  <w:style w:type="character" w:styleId="Emphasis">
    <w:name w:val="Emphasis"/>
    <w:qFormat/>
    <w:rPr>
      <w:i/>
      <w:iCs/>
    </w:rPr>
  </w:style>
  <w:style w:type="character" w:styleId="Ktwidgetusername">
    <w:name w:val="kt-widget__username"/>
    <w:qFormat/>
    <w:rPr/>
  </w:style>
  <w:style w:type="character" w:styleId="TextocorridoChar">
    <w:name w:val="Texto corrido Char"/>
    <w:qFormat/>
    <w:rPr>
      <w:rFonts w:ascii="Arial" w:hAnsi="Arial" w:eastAsia="Times New Roman" w:cs="Arial"/>
      <w:kern w:val="2"/>
      <w:sz w:val="22"/>
      <w:szCs w:val="22"/>
      <w:lang w:val="en-US" w:bidi="ar-BH"/>
    </w:rPr>
  </w:style>
  <w:style w:type="character" w:styleId="Ttulo1Char">
    <w:name w:val="Título 1 Char"/>
    <w:qFormat/>
    <w:rPr>
      <w:rFonts w:ascii="Arial" w:hAnsi="Arial" w:eastAsia="Times New Roman" w:cs="Arial"/>
      <w:b/>
      <w:bCs/>
      <w:sz w:val="24"/>
      <w:szCs w:val="24"/>
    </w:rPr>
  </w:style>
  <w:style w:type="character" w:styleId="RecuodecorpodetextoChar">
    <w:name w:val="Recuo de corpo de texto Char"/>
    <w:qFormat/>
    <w:rPr>
      <w:rFonts w:ascii="Arial" w:hAnsi="Arial" w:eastAsia="Times New Roman" w:cs="Arial"/>
      <w:sz w:val="24"/>
      <w:szCs w:val="24"/>
    </w:rPr>
  </w:style>
  <w:style w:type="paragraph" w:styleId="Heading">
    <w:name w:val="Heading"/>
    <w:basedOn w:val="Normal"/>
    <w:next w:val="TextBody"/>
    <w:qFormat/>
    <w:pPr>
      <w:keepNext w:val="true"/>
      <w:spacing w:before="240" w:after="120"/>
    </w:pPr>
    <w:rPr>
      <w:rFonts w:ascii="Liberation Sans" w:hAnsi="Liberation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lang w:val="zxx" w:eastAsia="zxx" w:bidi="zxx"/>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Header">
    <w:name w:val="Header"/>
    <w:basedOn w:val="Normal"/>
    <w:pPr>
      <w:tabs>
        <w:tab w:val="clear" w:pos="708"/>
        <w:tab w:val="center" w:pos="4419" w:leader="none"/>
        <w:tab w:val="right" w:pos="8838" w:leader="none"/>
      </w:tabs>
    </w:pPr>
    <w:rPr/>
  </w:style>
  <w:style w:type="paragraph" w:styleId="Footer">
    <w:name w:val="Footer"/>
    <w:basedOn w:val="Normal"/>
    <w:pPr>
      <w:tabs>
        <w:tab w:val="clear" w:pos="708"/>
        <w:tab w:val="center" w:pos="4419" w:leader="none"/>
        <w:tab w:val="right" w:pos="8838" w:leader="none"/>
      </w:tabs>
    </w:pPr>
    <w:rPr/>
  </w:style>
  <w:style w:type="paragraph" w:styleId="PargrafodaLista">
    <w:name w:val="Parágrafo da Lista"/>
    <w:basedOn w:val="Normal"/>
    <w:qFormat/>
    <w:pPr>
      <w:spacing w:before="0" w:after="0"/>
      <w:ind w:start="720" w:hanging="0"/>
      <w:contextualSpacing/>
    </w:pPr>
    <w:rPr/>
  </w:style>
  <w:style w:type="paragraph" w:styleId="Textodebalo">
    <w:name w:val="Texto de balão"/>
    <w:basedOn w:val="Normal"/>
    <w:qFormat/>
    <w:pPr/>
    <w:rPr>
      <w:rFonts w:ascii="Tahoma" w:hAnsi="Tahoma" w:cs="Tahoma"/>
      <w:sz w:val="16"/>
      <w:szCs w:val="16"/>
    </w:rPr>
  </w:style>
  <w:style w:type="paragraph" w:styleId="NormalWeb">
    <w:name w:val="Normal (Web)"/>
    <w:basedOn w:val="Normal"/>
    <w:qFormat/>
    <w:pPr>
      <w:spacing w:before="280" w:after="280"/>
    </w:pPr>
    <w:rPr/>
  </w:style>
  <w:style w:type="paragraph" w:styleId="Default">
    <w:name w:val="Default"/>
    <w:qFormat/>
    <w:pPr>
      <w:widowControl/>
      <w:autoSpaceDE w:val="false"/>
      <w:bidi w:val="0"/>
    </w:pPr>
    <w:rPr>
      <w:rFonts w:ascii="Arial" w:hAnsi="Arial" w:eastAsia="Calibri" w:cs="Arial"/>
      <w:color w:val="000000"/>
      <w:sz w:val="24"/>
      <w:szCs w:val="24"/>
      <w:lang w:val="pt-BR" w:bidi="ar-SA" w:eastAsia="zh-CN"/>
    </w:rPr>
  </w:style>
  <w:style w:type="paragraph" w:styleId="Textocorrido">
    <w:name w:val="Texto corrido"/>
    <w:basedOn w:val="Normal"/>
    <w:qFormat/>
    <w:pPr>
      <w:spacing w:lineRule="auto" w:line="360" w:before="360" w:after="0"/>
      <w:jc w:val="both"/>
    </w:pPr>
    <w:rPr>
      <w:rFonts w:ascii="Arial" w:hAnsi="Arial" w:cs="Arial"/>
      <w:kern w:val="2"/>
      <w:sz w:val="22"/>
      <w:szCs w:val="22"/>
      <w:lang w:val="en-US" w:bidi="ar-BH"/>
    </w:rPr>
  </w:style>
  <w:style w:type="paragraph" w:styleId="TextBodyIndent">
    <w:name w:val="Body Text Indent"/>
    <w:basedOn w:val="Normal"/>
    <w:pPr>
      <w:ind w:start="3960" w:hanging="0"/>
      <w:jc w:val="both"/>
    </w:pPr>
    <w:rPr>
      <w:rFonts w:ascii="Arial" w:hAnsi="Arial" w:cs="Arial"/>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akinet@aknet.net"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Normal.dotm</Template>
  <TotalTime>67</TotalTime>
  <Application>LibreOffice/7.2.0.4$Linux_X86_64 LibreOffice_project/20$Build-4</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2022-05-09T11:54:00Z</dcterms:created>
  <dc:creator>User</dc:creator>
  <dc:description/>
  <cp:keywords> </cp:keywords>
  <dc:language>en-US</dc:language>
  <cp:lastModifiedBy>Conta da Microsoft</cp:lastModifiedBy>
  <cp:lastPrinted>2022-05-09T11:54:00Z</cp:lastPrinted>
  <dcterms:modified xsi:type="dcterms:W3CDTF">2022-05-09T14:44:00Z</dcterms:modified>
  <cp:revision>3</cp:revision>
  <dc:subject/>
  <dc:title/>
</cp:coreProperties>
</file>